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竞 争 性 磋 商 文 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440601-2023-02333</w:t>
      </w:r>
    </w:p>
    <w:p>
      <w:pPr>
        <w:jc w:val="center"/>
      </w:pPr>
      <w:r>
        <w:rPr>
          <w:b/>
          <w:sz w:val="24"/>
        </w:rPr>
        <w:t>采购项目编号：</w:t>
      </w:r>
      <w:r>
        <w:rPr>
          <w:b/>
          <w:sz w:val="24"/>
        </w:rPr>
        <w:t>M4400000707019834001</w:t>
      </w:r>
    </w:p>
    <w:p>
      <w:pPr>
        <w:jc w:val="center"/>
      </w:pPr>
      <w:r>
        <w:rPr>
          <w:b/>
          <w:sz w:val="24"/>
        </w:rPr>
        <w:t>项目名称：</w:t>
      </w:r>
      <w:r>
        <w:rPr>
          <w:b/>
          <w:sz w:val="24"/>
        </w:rPr>
        <w:t>佛山市教育数据银行数据处理服务（2023-2025年）项目</w:t>
      </w:r>
    </w:p>
    <w:p>
      <w:pPr>
        <w:jc w:val="center"/>
      </w:pPr>
      <w:r>
        <w:rPr>
          <w:b/>
          <w:sz w:val="24"/>
        </w:rPr>
        <w:t>采购人：</w:t>
      </w:r>
      <w:r>
        <w:rPr>
          <w:b/>
          <w:sz w:val="24"/>
        </w:rPr>
        <w:t>佛山市教育局</w:t>
      </w:r>
    </w:p>
    <w:p>
      <w:pPr>
        <w:jc w:val="center"/>
      </w:pPr>
      <w:r>
        <w:rPr>
          <w:b/>
          <w:sz w:val="24"/>
        </w:rPr>
        <w:t>采购代理机构：</w:t>
      </w:r>
      <w:r>
        <w:rPr>
          <w:b/>
          <w:sz w:val="24"/>
        </w:rPr>
        <w:t>广东省机电设备招标有限公司佛山分公司</w:t>
      </w:r>
    </w:p>
    <w:p>
      <w:pPr>
        <w:ind w:firstLine="480"/>
      </w:pPr>
    </w:p>
    <w:p>
      <w:r>
        <w:rPr/>
        <w:t xml:space="preserve"> </w:t>
      </w:r>
    </w:p>
    <w:p/>
    <w:p>
      <w:pPr>
        <w:jc w:val="center"/>
      </w:pPr>
      <w:r>
        <w:rPr>
          <w:b/>
          <w:sz w:val="36"/>
        </w:rPr>
        <w:t>第一章 磋商邀请</w:t>
      </w:r>
    </w:p>
    <w:p>
      <w:pPr>
        <w:ind w:firstLine="480"/>
      </w:pPr>
      <w:r>
        <w:rPr/>
        <w:t>广东省机电设备招标有限公司佛山分公司</w:t>
      </w:r>
      <w:r>
        <w:rPr/>
        <w:t>受</w:t>
      </w:r>
      <w:r>
        <w:rPr/>
        <w:t>佛山市教育局</w:t>
      </w:r>
      <w:r>
        <w:rPr/>
        <w:t>的委托，采用</w:t>
      </w:r>
      <w:r>
        <w:rPr/>
        <w:t>竞争性磋商</w:t>
      </w:r>
      <w:r>
        <w:rPr/>
        <w:t>方式组织采购</w:t>
      </w:r>
      <w:r>
        <w:rPr/>
        <w:t>佛山市教育数据银行数据处理服务（2023-2025年）项目</w:t>
      </w:r>
      <w:r>
        <w:rPr/>
        <w:t>。欢迎符合资格条件的供应商参加。</w:t>
      </w:r>
    </w:p>
    <w:p>
      <w:r>
        <w:rPr>
          <w:b/>
          <w:sz w:val="28"/>
        </w:rPr>
        <w:t>一.项目概述</w:t>
      </w:r>
    </w:p>
    <w:p>
      <w:r>
        <w:rPr>
          <w:b/>
          <w:sz w:val="24"/>
        </w:rPr>
        <w:t>1.名称与编号</w:t>
      </w:r>
    </w:p>
    <w:p>
      <w:pPr>
        <w:ind w:firstLine="480"/>
      </w:pPr>
      <w:r>
        <w:rPr/>
        <w:t>采购项目名称：</w:t>
      </w:r>
      <w:r>
        <w:rPr/>
        <w:t>佛山市教育数据银行数据处理服务（2023-2025年）项目</w:t>
      </w:r>
    </w:p>
    <w:p>
      <w:pPr>
        <w:ind w:firstLine="480"/>
      </w:pPr>
      <w:r>
        <w:rPr/>
        <w:t>采购计划编号：</w:t>
      </w:r>
      <w:r>
        <w:rPr/>
        <w:t>440601-2023-02333</w:t>
      </w:r>
    </w:p>
    <w:p>
      <w:pPr>
        <w:ind w:firstLine="480"/>
      </w:pPr>
      <w:r>
        <w:rPr/>
        <w:t>采购项目编号：</w:t>
      </w:r>
      <w:r>
        <w:rPr/>
        <w:t>M4400000707019834001</w:t>
      </w:r>
    </w:p>
    <w:p>
      <w:pPr>
        <w:ind w:firstLine="480"/>
      </w:pPr>
      <w:r>
        <w:rPr/>
        <w:t>采购方式：</w:t>
      </w:r>
      <w:r>
        <w:rPr/>
        <w:t>竞争性磋商</w:t>
      </w:r>
    </w:p>
    <w:p>
      <w:pPr>
        <w:ind w:firstLine="480"/>
      </w:pPr>
      <w:r>
        <w:rPr/>
        <w:t>预算金额：</w:t>
      </w:r>
      <w:r>
        <w:rPr/>
        <w:t>1,387,200.00</w:t>
      </w:r>
      <w:r>
        <w:rPr/>
        <w:t>元</w:t>
      </w:r>
    </w:p>
    <w:p>
      <w:r>
        <w:rPr>
          <w:b/>
          <w:sz w:val="24"/>
        </w:rPr>
        <w:t>2.项目内容及需求情况（采购项目技术规格、参数及要求）</w:t>
      </w:r>
    </w:p>
    <w:p>
      <w:pPr>
        <w:ind w:firstLine="480"/>
      </w:pPr>
    </w:p>
    <w:p/>
    <w:p>
      <w:r>
        <w:rPr/>
        <w:t>采购包1(佛山市教育数据银行数据处理服务（2023-2025年）项目):</w:t>
      </w:r>
    </w:p>
    <w:p>
      <w:r>
        <w:rPr/>
        <w:t>采购包预算金额：1,387,200.00元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1-1</w:t>
            </w:r>
          </w:p>
        </w:tc>
        <w:tc>
          <w:tcPr>
            <w:tcW w:type="dxa" w:w="1424"/>
          </w:tcPr>
          <w:p>
            <w:r>
              <w:rPr/>
              <w:t>其他数据处理服务</w:t>
            </w:r>
          </w:p>
        </w:tc>
        <w:tc>
          <w:tcPr>
            <w:tcW w:type="dxa" w:w="2136"/>
          </w:tcPr>
          <w:p>
            <w:r>
              <w:rPr/>
              <w:t>佛山市教育数据银行数据处理服务（2023-2025年）项目</w:t>
            </w:r>
          </w:p>
        </w:tc>
        <w:tc>
          <w:tcPr>
            <w:tcW w:type="dxa" w:w="1187"/>
          </w:tcPr>
          <w:p>
            <w:r>
              <w:rPr/>
              <w:t>1.00(项)</w:t>
            </w:r>
          </w:p>
        </w:tc>
        <w:tc>
          <w:tcPr>
            <w:tcW w:type="dxa" w:w="1187"/>
          </w:tcPr>
          <w:p>
            <w:r>
              <w:rPr/>
              <w:t>详见第二章</w:t>
            </w:r>
          </w:p>
        </w:tc>
        <w:tc>
          <w:tcPr>
            <w:tcW w:type="dxa" w:w="1187"/>
          </w:tcPr>
          <w:p>
            <w:r>
              <w:rPr/>
              <w:t>否</w:t>
            </w:r>
          </w:p>
        </w:tc>
      </w:tr>
    </w:tbl>
    <w:p/>
    <w:p>
      <w:r>
        <w:rPr/>
        <w:t>本采购包不接受联合体响应</w:t>
      </w:r>
    </w:p>
    <w:p/>
    <w:p>
      <w:r>
        <w:rPr/>
        <w:t>合同履行期限：以合同实际签订时间为准。</w:t>
      </w:r>
    </w:p>
    <w:p/>
    <w:p>
      <w:r>
        <w:rPr>
          <w:b/>
          <w:sz w:val="28"/>
        </w:rPr>
        <w:t>二.供应商的资格要求</w:t>
      </w:r>
    </w:p>
    <w:p>
      <w:r>
        <w:rPr>
          <w:b/>
          <w:sz w:val="24"/>
        </w:rPr>
        <w:t>1.供应商应具备《中华人民共和国政府采购法》第二十二条规定的条件，提供下列材料：</w:t>
      </w:r>
    </w:p>
    <w:p>
      <w:pPr>
        <w:ind w:firstLine="480"/>
      </w:pPr>
    </w:p>
    <w:p/>
    <w:p>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
      <w:r>
        <w:rPr/>
        <w:t>2）有依法缴纳税收和社会保障资金的良好记录：1、提供《政府采购供应商资格信用承诺函》（承诺函格式见采购公告附件）；2、提供投标截止日前6个月内任意1个月依法缴纳税收和社会保障资金的相关材料（如依法免税或不需要缴纳社会保障资金的，提供相应证明材料）</w:t>
      </w:r>
    </w:p>
    <w:p/>
    <w:p>
      <w:r>
        <w:rPr/>
        <w:t>3）具有良好的商业信誉和健全的财务会计制度：供应商必须具有良好的商业信誉和健全的财务会计制度【提供以下四种证明材料之一：1、提供《政府采购供应商资格信用承诺函》（承诺函格式见采购公告附件）；2、提供2021（或2022）年度财务状况报告；3、提供投标截止日前6个月内基本开户行出具的资信证明，并同时提交开户（基本户）许可证扫描件，开户（基本户）许可证已取消的，应提供能体现基本开户银行的“基本存款账户编号”的相关证明；4、财政部门认可的政府采购专业担保机构出具的投标担保函】 。</w:t>
      </w:r>
    </w:p>
    <w:p/>
    <w:p>
      <w:r>
        <w:rPr/>
        <w:t>4）履行合同所必需的设备和专业技术能力：按投标（响应）文件格式填报设备及专业技术能力情况。</w:t>
      </w:r>
    </w:p>
    <w:p/>
    <w:p>
      <w:r>
        <w:rPr/>
        <w:t>5）参加采购活动前3年内，在经营活动中没有重大违法记录：参照投标（报价）函相关承诺格式内容或提供《政府采购供应商资格信用承诺函》（承诺函格式见采购公告附件）。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采购包1（佛山市教育数据银行数据处理服务（2023-2025年）项目）：</w:t>
      </w:r>
      <w:r>
        <w:rPr/>
        <w:t>（采购包整体专门面向中小企业）参与的供应商服务全部由符合政策要求的中小企业承接：服务由中小企业承接，即提供服务的人员为中小企业依照《中华人民共和国劳动合同法》订立劳动合同的从业人员。【注：中小企业以供应商填写的《中小企业声明函》为判定标准，残疾人福利性单位以供应商填写的《残疾人福利性单位声明函》为判定标准，监狱企业须供应商提供由省级以上监狱管理局、戒毒管理局（含新疆生产建设兵团）出具的属于监狱企业的证明文件，否则不予认定。监狱企业、残疾人福利性单位视同小型、微型企业。】</w:t>
      </w:r>
    </w:p>
    <w:p/>
    <w:p>
      <w:r>
        <w:rPr>
          <w:b/>
          <w:sz w:val="24"/>
        </w:rPr>
        <w:t>3.本项目特定的资格要求：</w:t>
      </w:r>
    </w:p>
    <w:p>
      <w:pPr>
        <w:ind w:firstLine="480"/>
      </w:pPr>
    </w:p>
    <w:p/>
    <w:p>
      <w:r>
        <w:rPr/>
        <w:t>采购包1（佛山市教育数据银行数据处理服务（2023-2025年）项目）：</w:t>
      </w:r>
    </w:p>
    <w:p/>
    <w:p>
      <w:r>
        <w:rPr/>
        <w:t>1)供应商未被列入“信用中国”网站(www.creditchina.gov.cn)“记录失信被执行人或重大税收违法案件当事人名单（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p/>
    <w:p>
      <w:r>
        <w:rPr/>
        <w:t>3)本项目不接受联合体响应。</w:t>
      </w:r>
    </w:p>
    <w:p/>
    <w:p>
      <w:r>
        <w:rPr>
          <w:b/>
          <w:sz w:val="28"/>
        </w:rPr>
        <w:t>三.获取磋商文件</w:t>
      </w:r>
    </w:p>
    <w:p>
      <w:pPr>
        <w:ind w:firstLine="480"/>
      </w:pPr>
      <w:r>
        <w:rPr/>
        <w:t>时间：详见磋商公告及其变更公告（如有）</w:t>
      </w:r>
    </w:p>
    <w:p>
      <w:pPr>
        <w:ind w:firstLine="480"/>
      </w:pPr>
      <w:r>
        <w:rPr/>
        <w:t>地点：详见磋商公告及其变更公告（如有）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响应登记并在线获取磋商文件（未按上述方式获取磋商文件的供应商，其响应资格将被视为无效）。</w:t>
      </w:r>
    </w:p>
    <w:p>
      <w:pPr>
        <w:ind w:firstLine="480"/>
      </w:pPr>
      <w:r>
        <w:rPr/>
        <w:t>售价：免费</w:t>
      </w:r>
    </w:p>
    <w:p>
      <w:r>
        <w:rPr>
          <w:b/>
          <w:sz w:val="28"/>
        </w:rPr>
        <w:t>四.提交响应文件截止时间、开启时间和地点：</w:t>
      </w:r>
    </w:p>
    <w:p>
      <w:pPr>
        <w:ind w:firstLine="480"/>
      </w:pPr>
      <w:r>
        <w:rPr/>
        <w:t>提交响应文件截止时间和开启时间：详见磋商公告及其变更公告（如有）（自响应文件开始发出之日起至响应供应商提交响应文件截止之日止，不得少于10个日历日）</w:t>
      </w:r>
    </w:p>
    <w:p>
      <w:pPr>
        <w:ind w:firstLine="480"/>
      </w:pPr>
      <w:r>
        <w:rPr/>
        <w:t>地点：详见磋商公告及其变更公告（如有）</w:t>
      </w:r>
    </w:p>
    <w:p>
      <w:r>
        <w:rPr>
          <w:b/>
          <w:sz w:val="28"/>
        </w:rPr>
        <w:t>五.公告期限、发布公告的媒介：</w:t>
      </w:r>
    </w:p>
    <w:p>
      <w:pPr>
        <w:ind w:firstLine="480"/>
      </w:pPr>
      <w:r>
        <w:rPr/>
        <w:t>1、公告期限：自本公告发布之日起不得少于3个工作日。</w:t>
      </w:r>
    </w:p>
    <w:p>
      <w:pPr>
        <w:ind w:firstLine="480"/>
      </w:pPr>
      <w:r>
        <w:rPr/>
        <w:t>2、发布公告的媒介：中国政府采购网(www.ccgp.gov.cn)，广东省政府采购网(https://gdgpo.czt.gd.gov.cn/)；</w:t>
      </w:r>
      <w:r>
        <w:rPr/>
        <w:t>广咨电子招投标交易平台（http://www.gzebid.cn/）</w:t>
      </w:r>
    </w:p>
    <w:p>
      <w:r>
        <w:rPr>
          <w:b/>
          <w:sz w:val="28"/>
        </w:rPr>
        <w:t>六.本项目联系方式：</w:t>
      </w:r>
    </w:p>
    <w:p>
      <w:r>
        <w:rPr>
          <w:b/>
          <w:sz w:val="24"/>
        </w:rPr>
        <w:t>1.采购人信息</w:t>
      </w:r>
    </w:p>
    <w:p>
      <w:pPr>
        <w:ind w:firstLine="480"/>
      </w:pPr>
      <w:r>
        <w:rPr/>
        <w:t>名称：</w:t>
      </w:r>
      <w:r>
        <w:rPr/>
        <w:t>佛山市教育局</w:t>
      </w:r>
    </w:p>
    <w:p>
      <w:pPr>
        <w:ind w:firstLine="480"/>
      </w:pPr>
      <w:r>
        <w:rPr/>
        <w:t>地址：</w:t>
      </w:r>
      <w:r>
        <w:rPr/>
        <w:t>广东省佛山市禅城区同济西路9号</w:t>
      </w:r>
    </w:p>
    <w:p>
      <w:pPr>
        <w:ind w:firstLine="480"/>
      </w:pPr>
      <w:r>
        <w:rPr/>
        <w:t>联系方式：</w:t>
      </w:r>
      <w:r>
        <w:rPr/>
        <w:t>0757-83205016</w:t>
      </w:r>
    </w:p>
    <w:p>
      <w:r>
        <w:rPr>
          <w:b/>
          <w:sz w:val="24"/>
        </w:rPr>
        <w:t>2.采购代理机构信息</w:t>
      </w:r>
    </w:p>
    <w:p>
      <w:pPr>
        <w:ind w:firstLine="480"/>
      </w:pPr>
      <w:r>
        <w:rPr/>
        <w:t>名称：</w:t>
      </w:r>
      <w:r>
        <w:rPr/>
        <w:t>广东省机电设备招标有限公司佛山分公司</w:t>
      </w:r>
    </w:p>
    <w:p>
      <w:pPr>
        <w:ind w:firstLine="480"/>
      </w:pPr>
      <w:r>
        <w:rPr/>
        <w:t>地址：</w:t>
      </w:r>
      <w:r>
        <w:rPr/>
        <w:t>佛山市禅城区汾江中路148号华美大厦10楼</w:t>
      </w:r>
    </w:p>
    <w:p>
      <w:pPr>
        <w:ind w:firstLine="480"/>
      </w:pPr>
      <w:r>
        <w:rPr/>
        <w:t>联系方式：</w:t>
      </w:r>
      <w:r>
        <w:rPr/>
        <w:t>0757-83126103</w:t>
      </w:r>
    </w:p>
    <w:p>
      <w:r>
        <w:rPr>
          <w:b/>
          <w:sz w:val="24"/>
        </w:rPr>
        <w:t>3.项目联系方式</w:t>
      </w:r>
    </w:p>
    <w:p>
      <w:pPr>
        <w:ind w:firstLine="480"/>
      </w:pPr>
      <w:r>
        <w:rPr/>
        <w:t>项目联系人：</w:t>
      </w:r>
      <w:r>
        <w:rPr/>
        <w:t>李锐昌</w:t>
      </w:r>
    </w:p>
    <w:p>
      <w:pPr>
        <w:ind w:firstLine="480"/>
      </w:pPr>
      <w:r>
        <w:rPr/>
        <w:t>电话：</w:t>
      </w:r>
      <w:r>
        <w:rPr/>
        <w:t>0757-83126103</w:t>
      </w:r>
    </w:p>
    <w:p>
      <w:r>
        <w:rPr>
          <w:b/>
          <w:sz w:val="24"/>
        </w:rPr>
        <w:t>4.技术支持联系方式</w:t>
      </w:r>
    </w:p>
    <w:p>
      <w:pPr>
        <w:ind w:firstLine="480"/>
      </w:pPr>
      <w:r>
        <w:rPr/>
        <w:t>云平台联系方式：020-88696588</w:t>
      </w:r>
    </w:p>
    <w:p>
      <w:r>
        <w:rPr/>
        <w:t>采购代理机构：</w:t>
      </w:r>
      <w:r>
        <w:rPr/>
        <w:t>广东省机电设备招标有限公司佛山分公司</w:t>
      </w:r>
    </w:p>
    <w:p>
      <w:pPr>
        <w:ind w:firstLine="480"/>
      </w:pPr>
    </w:p>
    <w:p>
      <w:r>
        <w:rPr/>
        <w:t xml:space="preserve"> </w:t>
      </w:r>
    </w:p>
    <w:p/>
    <w:p>
      <w:pPr>
        <w:jc w:val="center"/>
      </w:pPr>
      <w:r>
        <w:rPr>
          <w:b/>
          <w:sz w:val="36"/>
        </w:rPr>
        <w:t>第二章 采购需求</w:t>
      </w:r>
    </w:p>
    <w:p>
      <w:r>
        <w:rPr>
          <w:b/>
          <w:sz w:val="28"/>
        </w:rPr>
        <w:t>一、项目概况：</w:t>
      </w:r>
    </w:p>
    <w:p>
      <w:pPr>
        <w:ind w:firstLine="480"/>
      </w:pPr>
    </w:p>
    <w:p/>
    <w:p>
      <w:pPr>
        <w:jc w:val="both"/>
      </w:pPr>
      <w:r>
        <w:rPr>
          <w:sz w:val="21"/>
        </w:rPr>
        <w:t>1、本项目属于 服务类 项目。</w:t>
      </w:r>
    </w:p>
    <w:p>
      <w:pPr>
        <w:jc w:val="both"/>
      </w:pPr>
      <w:r>
        <w:rPr>
          <w:sz w:val="21"/>
        </w:rPr>
        <w:t>2、本项目采购标的的中小企业划型标准所属行业详见本章“2.技术标准与要求”标示。</w:t>
      </w:r>
    </w:p>
    <w:p/>
    <w:p>
      <w:pPr>
        <w:ind w:firstLine="480"/>
      </w:pPr>
    </w:p>
    <w:p/>
    <w:p>
      <w:r>
        <w:rPr/>
        <w:t>采购包1（佛山市教育数据银行数据处理服务（2023-2025年）项目）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合同签订之日起3年。</w:t>
            </w:r>
          </w:p>
        </w:tc>
      </w:tr>
      <w:tr>
        <w:tc>
          <w:tcPr>
            <w:tcW w:type="dxa" w:w="4153"/>
          </w:tcPr>
          <w:p>
            <w:r>
              <w:rPr/>
              <w:t>标的提供的地点</w:t>
            </w:r>
          </w:p>
        </w:tc>
        <w:tc>
          <w:tcPr>
            <w:tcW w:type="dxa" w:w="4153"/>
          </w:tcPr>
          <w:p/>
          <w:p>
            <w:r>
              <w:rPr/>
              <w:t>采购人（用户）所在地，地址为（采购人指定地点）。</w:t>
            </w:r>
          </w:p>
        </w:tc>
      </w:tr>
      <w:tr>
        <w:tc>
          <w:tcPr>
            <w:tcW w:type="dxa" w:w="4153"/>
          </w:tcPr>
          <w:p>
            <w:r>
              <w:rPr/>
              <w:t>付款方式</w:t>
            </w:r>
          </w:p>
        </w:tc>
        <w:tc>
          <w:tcPr>
            <w:tcW w:type="dxa" w:w="4153"/>
          </w:tcPr>
          <w:p/>
          <w:p/>
          <w:p>
            <w:r>
              <w:rPr/>
              <w:t>1期：支付比例33.34%,合同生效后，15个工作日内支付合同总额的33.34%；</w:t>
            </w:r>
          </w:p>
          <w:p/>
          <w:p>
            <w:r>
              <w:rPr/>
              <w:t>2期：支付比例33.33%,第二年的第三个季度内，支付合同总额的33.33%；</w:t>
            </w:r>
          </w:p>
          <w:p/>
          <w:p>
            <w:r>
              <w:rPr/>
              <w:t>3期：支付比例33.33%,第三年的第三个季度内，支付合同总额的33.33%。</w:t>
            </w:r>
          </w:p>
        </w:tc>
      </w:tr>
      <w:tr>
        <w:tc>
          <w:tcPr>
            <w:tcW w:type="dxa" w:w="4153"/>
          </w:tcPr>
          <w:p>
            <w:r>
              <w:rPr/>
              <w:t>验收要求</w:t>
            </w:r>
          </w:p>
        </w:tc>
        <w:tc>
          <w:tcPr>
            <w:tcW w:type="dxa" w:w="4153"/>
          </w:tcPr>
          <w:p/>
          <w:p/>
          <w:p/>
          <w:p>
            <w:r>
              <w:rPr/>
              <w:t>1期：1.验收标准：验收的主要依据包括本项目采购需求书、磋商响应文件、合同文件、采购文件，以及设计方案。 2.项目所有工作内容完成以后，由乙方提交验收申请，由甲方组织验收小组，负责对项目进行全面验收，项目验收依次序对照执行标准为：①符合中华人民共和国国家和履约地相关安全质量标准、行业技术规范标准；②符合采购文件和响应承诺中各方共同认可的各项要求；③双方约定的其他验收标准。 3.在采购人的监督下，服务过程中的各项工作和文档，须达到采购文件中技术要求的标准。</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tc>
      </w:tr>
    </w:tbl>
    <w:p/>
    <w:p>
      <w:r>
        <w:rPr/>
        <w:t>其他商务需求</w:t>
      </w:r>
    </w:p>
    <w:p/>
    <w:p/>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jc w:val="center"/>
            </w:pPr>
            <w:r>
              <w:rPr/>
              <w:t>参数性质</w:t>
            </w:r>
          </w:p>
        </w:tc>
        <w:tc>
          <w:tcPr>
            <w:tcW w:type="dxa" w:w="2076"/>
          </w:tcPr>
          <w:p>
            <w:pPr>
              <w:jc w:val="center"/>
            </w:pPr>
            <w:r>
              <w:rPr/>
              <w:t>编号</w:t>
            </w:r>
          </w:p>
        </w:tc>
        <w:tc>
          <w:tcPr>
            <w:tcW w:type="dxa" w:w="2076"/>
          </w:tcPr>
          <w:p>
            <w:pPr>
              <w:jc w:val="center"/>
            </w:pPr>
            <w:r>
              <w:rPr/>
              <w:t>内容明细</w:t>
            </w:r>
          </w:p>
        </w:tc>
        <w:tc>
          <w:tcPr>
            <w:tcW w:type="dxa" w:w="2076"/>
          </w:tcPr>
          <w:p>
            <w:pPr>
              <w:jc w:val="center"/>
            </w:pPr>
            <w:r>
              <w:rPr/>
              <w:t>内容说明</w:t>
            </w:r>
          </w:p>
        </w:tc>
      </w:tr>
      <w:tr>
        <w:tc>
          <w:tcPr>
            <w:tcW w:type="dxa" w:w="2076"/>
          </w:tcPr>
          <w:p>
            <w:pPr>
              <w:jc w:val="center"/>
            </w:pPr>
          </w:p>
        </w:tc>
        <w:tc>
          <w:tcPr>
            <w:tcW w:type="dxa" w:w="2076"/>
          </w:tcPr>
          <w:p>
            <w:pPr>
              <w:jc w:val="center"/>
            </w:pPr>
            <w:r>
              <w:rPr/>
              <w:t>1</w:t>
            </w:r>
          </w:p>
        </w:tc>
        <w:tc>
          <w:tcPr>
            <w:tcW w:type="dxa" w:w="2076"/>
          </w:tcPr>
          <w:p>
            <w:pPr>
              <w:jc w:val="left"/>
            </w:pPr>
            <w:r>
              <w:rPr/>
              <w:t>售后服务要求</w:t>
            </w:r>
          </w:p>
        </w:tc>
        <w:tc>
          <w:tcPr>
            <w:tcW w:type="dxa" w:w="2076"/>
          </w:tcPr>
          <w:p>
            <w:pPr>
              <w:jc w:val="left"/>
            </w:pPr>
            <w:r>
              <w:rPr/>
              <w:t>成交供应商提供7×24 小时应急服务；需在半小时内对故障做出响应；处理的时限由各采购分项分别规定。</w:t>
            </w:r>
          </w:p>
        </w:tc>
      </w:tr>
      <w:tr>
        <w:tc>
          <w:tcPr>
            <w:tcW w:type="dxa" w:w="2076"/>
          </w:tcPr>
          <w:p>
            <w:pPr>
              <w:jc w:val="center"/>
            </w:pPr>
            <w:r>
              <w:rPr/>
              <w:t>★</w:t>
            </w:r>
          </w:p>
        </w:tc>
        <w:tc>
          <w:tcPr>
            <w:tcW w:type="dxa" w:w="2076"/>
          </w:tcPr>
          <w:p>
            <w:pPr>
              <w:jc w:val="center"/>
            </w:pPr>
            <w:r>
              <w:rPr/>
              <w:t>2</w:t>
            </w:r>
          </w:p>
        </w:tc>
        <w:tc>
          <w:tcPr>
            <w:tcW w:type="dxa" w:w="2076"/>
          </w:tcPr>
          <w:p>
            <w:pPr>
              <w:jc w:val="left"/>
            </w:pPr>
            <w:r>
              <w:rPr/>
              <w:t>投标（响应）报价</w:t>
            </w:r>
          </w:p>
        </w:tc>
        <w:tc>
          <w:tcPr>
            <w:tcW w:type="dxa" w:w="2076"/>
          </w:tcPr>
          <w:p>
            <w:pPr>
              <w:jc w:val="left"/>
            </w:pPr>
            <w:r>
              <w:rPr/>
              <w:t>(1) ★报价方案是唯一确定且不高于本项目采购预算；</w:t>
            </w:r>
          </w:p>
        </w:tc>
      </w:tr>
      <w:tr>
        <w:tc>
          <w:tcPr>
            <w:tcW w:type="dxa" w:w="2076"/>
          </w:tcPr>
          <w:p>
            <w:pPr>
              <w:jc w:val="center"/>
            </w:pPr>
          </w:p>
        </w:tc>
        <w:tc>
          <w:tcPr>
            <w:tcW w:type="dxa" w:w="2076"/>
          </w:tcPr>
          <w:p>
            <w:pPr>
              <w:jc w:val="center"/>
            </w:pPr>
            <w:r>
              <w:rPr/>
              <w:t>3</w:t>
            </w:r>
          </w:p>
        </w:tc>
        <w:tc>
          <w:tcPr>
            <w:tcW w:type="dxa" w:w="2076"/>
          </w:tcPr>
          <w:p>
            <w:pPr>
              <w:jc w:val="left"/>
            </w:pPr>
            <w:r>
              <w:rPr/>
              <w:t>投标（响应）报价</w:t>
            </w:r>
          </w:p>
        </w:tc>
        <w:tc>
          <w:tcPr>
            <w:tcW w:type="dxa" w:w="2076"/>
          </w:tcPr>
          <w:p>
            <w:pPr>
              <w:jc w:val="left"/>
            </w:pPr>
            <w:r>
              <w:rPr/>
              <w:t>(2)本项目的报价包括但不限于：完成本项目产生的所有费用、所有相关技术人员的工勤费用（包括工资、福利、交通、食宿、通讯费用等）、全额含税发票、合同实施过程中的应预见和不可预见费用等完成合同规定责任和义务、达到合同目的的一切费用及企业利润。</w:t>
            </w:r>
          </w:p>
        </w:tc>
      </w:tr>
    </w:tbl>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r>
              <w:rPr/>
              <w:t>说明</w:t>
            </w:r>
          </w:p>
        </w:tc>
        <w:tc>
          <w:tcPr>
            <w:tcW w:type="dxa" w:w="5538"/>
            <w:gridSpan w:val="2"/>
          </w:tcPr>
          <w:p>
            <w:pPr>
              <w:jc w:val="left"/>
            </w:pPr>
            <w:r>
              <w:rPr/>
              <w:t>打“★”号条款为实质性条款，若有任何一条负偏离或不满足则导致投标（响应）无效。</w:t>
            </w:r>
            <w:r>
              <w:br/>
            </w:r>
            <w:r>
              <w:rPr/>
              <w:t>打“▲”号条款为重要参数（如有），若有部分“▲”条款未响应或不满足，将根据评审要求影响其得分，但不作为无效投标（响应）条款。</w:t>
            </w:r>
          </w:p>
        </w:tc>
      </w:tr>
    </w:tbl>
    <w:p>
      <w:r>
        <w:rPr>
          <w:b/>
        </w:rPr>
        <w:t>2.技术标准与要求</w:t>
      </w:r>
    </w:p>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jc w:val="center"/>
            </w:pPr>
            <w:r>
              <w:rPr/>
              <w:t>序号</w:t>
            </w:r>
          </w:p>
        </w:tc>
        <w:tc>
          <w:tcPr>
            <w:tcW w:type="dxa" w:w="933"/>
          </w:tcPr>
          <w:p>
            <w:pPr>
              <w:jc w:val="center"/>
            </w:pPr>
            <w:r>
              <w:rPr/>
              <w:t>品目名称</w:t>
            </w:r>
          </w:p>
        </w:tc>
        <w:tc>
          <w:tcPr>
            <w:tcW w:type="dxa" w:w="933"/>
          </w:tcPr>
          <w:p>
            <w:pPr>
              <w:jc w:val="center"/>
            </w:pPr>
            <w:r>
              <w:rPr/>
              <w:t>标的名称</w:t>
            </w:r>
          </w:p>
        </w:tc>
        <w:tc>
          <w:tcPr>
            <w:tcW w:type="dxa" w:w="933"/>
          </w:tcPr>
          <w:p>
            <w:pPr>
              <w:jc w:val="center"/>
            </w:pPr>
            <w:r>
              <w:rPr/>
              <w:t>单位</w:t>
            </w:r>
          </w:p>
        </w:tc>
        <w:tc>
          <w:tcPr>
            <w:tcW w:type="dxa" w:w="933"/>
          </w:tcPr>
          <w:p>
            <w:pPr>
              <w:jc w:val="center"/>
            </w:pPr>
            <w:r>
              <w:rPr/>
              <w:t>数量</w:t>
            </w:r>
          </w:p>
        </w:tc>
        <w:tc>
          <w:tcPr>
            <w:tcW w:type="dxa" w:w="933"/>
          </w:tcPr>
          <w:p>
            <w:pPr>
              <w:jc w:val="center"/>
            </w:pPr>
            <w:r>
              <w:rPr/>
              <w:t>分项预算单价（元）</w:t>
            </w:r>
          </w:p>
        </w:tc>
        <w:tc>
          <w:tcPr>
            <w:tcW w:type="dxa" w:w="933"/>
          </w:tcPr>
          <w:p>
            <w:pPr>
              <w:jc w:val="center"/>
            </w:pPr>
            <w:r>
              <w:rPr/>
              <w:t>分项预算总价（元）</w:t>
            </w:r>
          </w:p>
        </w:tc>
        <w:tc>
          <w:tcPr>
            <w:tcW w:type="dxa" w:w="840"/>
          </w:tcPr>
          <w:p>
            <w:r>
              <w:rPr/>
              <w:t>所属行业</w:t>
            </w:r>
          </w:p>
        </w:tc>
        <w:tc>
          <w:tcPr>
            <w:tcW w:type="dxa" w:w="933"/>
          </w:tcPr>
          <w:p>
            <w:pPr>
              <w:jc w:val="center"/>
            </w:pPr>
            <w:r>
              <w:rPr/>
              <w:t>技术要求</w:t>
            </w:r>
          </w:p>
        </w:tc>
      </w:tr>
      <w:tr>
        <w:tc>
          <w:tcPr>
            <w:tcW w:type="dxa" w:w="933"/>
          </w:tcPr>
          <w:p>
            <w:pPr>
              <w:jc w:val="center"/>
            </w:pPr>
            <w:r>
              <w:rPr/>
              <w:t>1</w:t>
            </w:r>
          </w:p>
        </w:tc>
        <w:tc>
          <w:tcPr>
            <w:tcW w:type="dxa" w:w="933"/>
          </w:tcPr>
          <w:p>
            <w:pPr>
              <w:jc w:val="left"/>
            </w:pPr>
            <w:r>
              <w:rPr/>
              <w:t>其他数据处理服务</w:t>
            </w:r>
          </w:p>
        </w:tc>
        <w:tc>
          <w:tcPr>
            <w:tcW w:type="dxa" w:w="933"/>
          </w:tcPr>
          <w:p>
            <w:pPr>
              <w:jc w:val="left"/>
            </w:pPr>
            <w:r>
              <w:rPr/>
              <w:t>佛山市教育数据银行数据处理服务（2023-2025年）项目</w:t>
            </w:r>
          </w:p>
        </w:tc>
        <w:tc>
          <w:tcPr>
            <w:tcW w:type="dxa" w:w="933"/>
          </w:tcPr>
          <w:p>
            <w:pPr>
              <w:jc w:val="left"/>
            </w:pPr>
            <w:r>
              <w:rPr/>
              <w:t>项</w:t>
            </w:r>
          </w:p>
        </w:tc>
        <w:tc>
          <w:tcPr>
            <w:tcW w:type="dxa" w:w="933"/>
          </w:tcPr>
          <w:p>
            <w:pPr>
              <w:jc w:val="right"/>
            </w:pPr>
            <w:r>
              <w:rPr/>
              <w:t>1.00</w:t>
            </w:r>
          </w:p>
        </w:tc>
        <w:tc>
          <w:tcPr>
            <w:tcW w:type="dxa" w:w="933"/>
          </w:tcPr>
          <w:p>
            <w:pPr>
              <w:jc w:val="right"/>
            </w:pPr>
            <w:r>
              <w:rPr/>
              <w:t>1,387,200.00</w:t>
            </w:r>
          </w:p>
        </w:tc>
        <w:tc>
          <w:tcPr>
            <w:tcW w:type="dxa" w:w="933"/>
          </w:tcPr>
          <w:p>
            <w:pPr>
              <w:jc w:val="right"/>
            </w:pPr>
            <w:r>
              <w:rPr/>
              <w:t>1,387,200.00</w:t>
            </w:r>
          </w:p>
        </w:tc>
        <w:tc>
          <w:tcPr>
            <w:tcW w:type="dxa" w:w="840"/>
          </w:tcPr>
          <w:p>
            <w:r>
              <w:rPr/>
              <w:t>软件和信息技术服务业</w:t>
            </w:r>
          </w:p>
        </w:tc>
        <w:tc>
          <w:tcPr>
            <w:tcW w:type="dxa" w:w="933"/>
          </w:tcPr>
          <w:p>
            <w:r>
              <w:rPr/>
              <w:t>详见附表一</w:t>
            </w:r>
          </w:p>
        </w:tc>
      </w:tr>
    </w:tbl>
    <w:p/>
    <w:p>
      <w:r>
        <w:rPr>
          <w:b/>
        </w:rPr>
        <w:t>附表</w:t>
      </w:r>
      <w:r>
        <w:rPr>
          <w:b/>
        </w:rPr>
        <w:t>一</w:t>
      </w:r>
      <w:r>
        <w:rPr>
          <w:b/>
        </w:rPr>
        <w:t>：</w:t>
      </w:r>
      <w:r>
        <w:rPr>
          <w:b/>
        </w:rPr>
        <w:t>佛山市教育数据银行数据处理服务（2023-2025年）项目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b/>
                <w:sz w:val="21"/>
              </w:rPr>
              <w:t>项目内容：本项目总体内容为：</w:t>
            </w:r>
            <w:r>
              <w:rPr>
                <w:b/>
                <w:sz w:val="21"/>
              </w:rPr>
              <w:t>佛山市教育数据银行管理系统</w:t>
            </w:r>
            <w:r>
              <w:rPr>
                <w:b/>
                <w:sz w:val="21"/>
              </w:rPr>
              <w:t>运维服务、佛山市教育数据银行数据处理服务。</w:t>
            </w:r>
          </w:p>
          <w:p>
            <w:r>
              <w:rPr>
                <w:b/>
                <w:color w:val="000000"/>
                <w:sz w:val="21"/>
              </w:rPr>
              <w:t>技术要求</w:t>
            </w:r>
          </w:p>
          <w:p>
            <w:r>
              <w:rPr>
                <w:b/>
                <w:color w:val="000000"/>
                <w:sz w:val="21"/>
              </w:rPr>
              <w:t>1、佛山市教育数据银行管理系统</w:t>
            </w:r>
            <w:r>
              <w:rPr>
                <w:b/>
                <w:color w:val="000000"/>
                <w:sz w:val="21"/>
              </w:rPr>
              <w:t>运维服务</w:t>
            </w:r>
          </w:p>
          <w:p>
            <w:r>
              <w:rPr>
                <w:b/>
                <w:color w:val="000000"/>
                <w:sz w:val="21"/>
              </w:rPr>
              <w:t>1</w:t>
            </w:r>
            <w:r>
              <w:rPr>
                <w:b/>
                <w:color w:val="000000"/>
                <w:sz w:val="21"/>
              </w:rPr>
              <w:t xml:space="preserve">.1  </w:t>
            </w:r>
            <w:r>
              <w:rPr>
                <w:b/>
                <w:color w:val="000000"/>
                <w:sz w:val="21"/>
              </w:rPr>
              <w:t>服务对象</w:t>
            </w:r>
          </w:p>
          <w:p>
            <w:pPr>
              <w:jc w:val="both"/>
            </w:pPr>
            <w:r>
              <w:rPr>
                <w:color w:val="000000"/>
                <w:sz w:val="21"/>
              </w:rPr>
              <w:t>运维服务对象为</w:t>
            </w:r>
            <w:r>
              <w:rPr>
                <w:color w:val="000000"/>
                <w:sz w:val="21"/>
              </w:rPr>
              <w:t>佛山市教育数据银行管理系统，</w:t>
            </w:r>
            <w:r>
              <w:rPr>
                <w:color w:val="000000"/>
                <w:sz w:val="21"/>
              </w:rPr>
              <w:t>系统的现有功能见下表：</w:t>
            </w:r>
          </w:p>
          <w:tbl>
            <w:tblPr>
              <w:tblBorders>
                <w:top w:val="none" w:color="000000" w:sz="4"/>
                <w:left w:val="none" w:color="000000" w:sz="4"/>
                <w:bottom w:val="none" w:color="000000" w:sz="4"/>
                <w:right w:val="none" w:color="000000" w:sz="4"/>
                <w:insideH w:val="none"/>
                <w:insideV w:val="none"/>
              </w:tblBorders>
            </w:tblPr>
            <w:tblGrid>
              <w:gridCol w:w="1866"/>
              <w:gridCol w:w="1866"/>
              <w:gridCol w:w="1866"/>
            </w:tblGrid>
            <w:tr>
              <w:tc>
                <w:tcPr>
                  <w:tcW w:type="dxa" w:w="1866"/>
                  <w:tcBorders>
                    <w:top w:val="single" w:color="000000" w:sz="4"/>
                    <w:left w:val="single" w:color="000000" w:sz="4"/>
                    <w:bottom w:val="single" w:color="000000" w:sz="4"/>
                    <w:right w:val="single" w:color="000000" w:sz="4"/>
                  </w:tcBorders>
                  <w:shd w:fill="DBE5F1"/>
                  <w:vAlign w:val="top"/>
                </w:tcPr>
                <w:p>
                  <w:pPr>
                    <w:jc w:val="center"/>
                  </w:pPr>
                  <w:r>
                    <w:rPr>
                      <w:b/>
                      <w:color w:val="000000"/>
                      <w:sz w:val="21"/>
                    </w:rPr>
                    <w:t>序号</w:t>
                  </w:r>
                </w:p>
              </w:tc>
              <w:tc>
                <w:tcPr>
                  <w:tcW w:type="dxa" w:w="1866"/>
                  <w:tcBorders>
                    <w:top w:val="single" w:color="000000" w:sz="4"/>
                    <w:left w:val="none" w:color="000000" w:sz="4"/>
                    <w:bottom w:val="single" w:color="000000" w:sz="4"/>
                    <w:right w:val="single" w:color="000000" w:sz="4"/>
                  </w:tcBorders>
                  <w:shd w:fill="DBE5F1"/>
                  <w:vAlign w:val="top"/>
                </w:tcPr>
                <w:p>
                  <w:pPr>
                    <w:jc w:val="center"/>
                  </w:pPr>
                  <w:r>
                    <w:rPr>
                      <w:b/>
                      <w:color w:val="000000"/>
                      <w:sz w:val="21"/>
                    </w:rPr>
                    <w:t>项目名称</w:t>
                  </w:r>
                </w:p>
              </w:tc>
              <w:tc>
                <w:tcPr>
                  <w:tcW w:type="dxa" w:w="1866"/>
                  <w:tcBorders>
                    <w:top w:val="single" w:color="000000" w:sz="4"/>
                    <w:left w:val="none" w:color="000000" w:sz="4"/>
                    <w:bottom w:val="single" w:color="000000" w:sz="4"/>
                    <w:right w:val="single" w:color="000000" w:sz="4"/>
                  </w:tcBorders>
                  <w:shd w:fill="DBE5F1"/>
                  <w:vAlign w:val="top"/>
                </w:tcPr>
                <w:p>
                  <w:pPr>
                    <w:jc w:val="center"/>
                  </w:pPr>
                  <w:r>
                    <w:rPr>
                      <w:b/>
                      <w:color w:val="000000"/>
                      <w:sz w:val="21"/>
                    </w:rPr>
                    <w:t>主要功能模块</w:t>
                  </w:r>
                </w:p>
              </w:tc>
            </w:tr>
            <w:tr>
              <w:tc>
                <w:tcPr>
                  <w:tcW w:type="dxa" w:w="1866"/>
                  <w:vMerge w:val="restart"/>
                  <w:tcBorders>
                    <w:top w:val="none" w:color="000000" w:sz="4"/>
                    <w:left w:val="single" w:color="000000" w:sz="4"/>
                    <w:bottom w:val="single" w:color="000000" w:sz="4"/>
                    <w:right w:val="single" w:color="000000" w:sz="4"/>
                  </w:tcBorders>
                  <w:shd w:fill="FFFFFF"/>
                  <w:vAlign w:val="top"/>
                </w:tcPr>
                <w:p>
                  <w:pPr>
                    <w:jc w:val="center"/>
                  </w:pPr>
                  <w:r>
                    <w:rPr>
                      <w:color w:val="000000"/>
                      <w:sz w:val="21"/>
                    </w:rPr>
                    <w:t>1</w:t>
                  </w:r>
                </w:p>
              </w:tc>
              <w:tc>
                <w:tcPr>
                  <w:tcW w:type="dxa" w:w="1866"/>
                  <w:vMerge w:val="restart"/>
                  <w:tcBorders>
                    <w:top w:val="none" w:color="000000" w:sz="4"/>
                    <w:left w:val="none" w:color="000000" w:sz="4"/>
                    <w:bottom w:val="single" w:color="000000" w:sz="4"/>
                    <w:right w:val="single" w:color="000000" w:sz="4"/>
                  </w:tcBorders>
                  <w:shd w:fill="FFFFFF"/>
                  <w:vAlign w:val="top"/>
                </w:tcPr>
                <w:p>
                  <w:pPr>
                    <w:jc w:val="center"/>
                  </w:pPr>
                  <w:r>
                    <w:rPr>
                      <w:color w:val="000000"/>
                      <w:sz w:val="21"/>
                    </w:rPr>
                    <w:t>基础架构</w:t>
                  </w:r>
                </w:p>
              </w:tc>
              <w:tc>
                <w:tcPr>
                  <w:tcW w:type="dxa" w:w="1866"/>
                  <w:tcBorders>
                    <w:top w:val="none" w:color="000000" w:sz="4"/>
                    <w:left w:val="none" w:color="000000" w:sz="4"/>
                    <w:bottom w:val="single" w:color="000000" w:sz="4"/>
                    <w:right w:val="single" w:color="000000" w:sz="4"/>
                  </w:tcBorders>
                  <w:vAlign w:val="top"/>
                </w:tcPr>
                <w:p>
                  <w:pPr>
                    <w:jc w:val="center"/>
                  </w:pPr>
                  <w:r>
                    <w:rPr>
                      <w:color w:val="000000"/>
                      <w:sz w:val="21"/>
                    </w:rPr>
                    <w:t>数据建模</w:t>
                  </w:r>
                </w:p>
              </w:tc>
            </w:tr>
            <w:tr>
              <w:tc>
                <w:tcPr>
                  <w:tcW w:type="dxa" w:w="1866"/>
                  <w:vMerge/>
                  <w:tcBorders>
                    <w:top w:val="none" w:color="000000" w:sz="4"/>
                    <w:left w:val="single" w:color="000000" w:sz="4"/>
                    <w:bottom w:val="single" w:color="000000" w:sz="4"/>
                    <w:right w:val="single" w:color="000000" w:sz="4"/>
                  </w:tcBorders>
                </w:tcPr>
                <w:p/>
              </w:tc>
              <w:tc>
                <w:tcPr>
                  <w:tcW w:type="dxa" w:w="1866"/>
                  <w:vMerge/>
                  <w:tcBorders>
                    <w:top w:val="none" w:color="000000" w:sz="4"/>
                    <w:left w:val="non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vAlign w:val="top"/>
                </w:tcPr>
                <w:p>
                  <w:pPr>
                    <w:jc w:val="center"/>
                  </w:pPr>
                  <w:r>
                    <w:rPr>
                      <w:color w:val="000000"/>
                      <w:sz w:val="21"/>
                    </w:rPr>
                    <w:t>微服务管理</w:t>
                  </w:r>
                </w:p>
              </w:tc>
            </w:tr>
            <w:tr>
              <w:tc>
                <w:tcPr>
                  <w:tcW w:type="dxa" w:w="1866"/>
                  <w:vMerge/>
                  <w:tcBorders>
                    <w:top w:val="none" w:color="000000" w:sz="4"/>
                    <w:left w:val="single" w:color="000000" w:sz="4"/>
                    <w:bottom w:val="single" w:color="000000" w:sz="4"/>
                    <w:right w:val="single" w:color="000000" w:sz="4"/>
                  </w:tcBorders>
                </w:tcPr>
                <w:p/>
              </w:tc>
              <w:tc>
                <w:tcPr>
                  <w:tcW w:type="dxa" w:w="1866"/>
                  <w:vMerge/>
                  <w:tcBorders>
                    <w:top w:val="none" w:color="000000" w:sz="4"/>
                    <w:left w:val="non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vAlign w:val="top"/>
                </w:tcPr>
                <w:p>
                  <w:pPr>
                    <w:jc w:val="center"/>
                  </w:pPr>
                  <w:r>
                    <w:rPr>
                      <w:color w:val="000000"/>
                      <w:sz w:val="21"/>
                    </w:rPr>
                    <w:t>通用多源数据适配器</w:t>
                  </w:r>
                </w:p>
              </w:tc>
            </w:tr>
            <w:tr>
              <w:tc>
                <w:tcPr>
                  <w:tcW w:type="dxa" w:w="1866"/>
                  <w:vMerge/>
                  <w:tcBorders>
                    <w:top w:val="none" w:color="000000" w:sz="4"/>
                    <w:left w:val="single" w:color="000000" w:sz="4"/>
                    <w:bottom w:val="single" w:color="000000" w:sz="4"/>
                    <w:right w:val="single" w:color="000000" w:sz="4"/>
                  </w:tcBorders>
                </w:tcPr>
                <w:p/>
              </w:tc>
              <w:tc>
                <w:tcPr>
                  <w:tcW w:type="dxa" w:w="1866"/>
                  <w:vMerge/>
                  <w:tcBorders>
                    <w:top w:val="none" w:color="000000" w:sz="4"/>
                    <w:left w:val="non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vAlign w:val="top"/>
                </w:tcPr>
                <w:p>
                  <w:pPr>
                    <w:jc w:val="center"/>
                  </w:pPr>
                  <w:r>
                    <w:rPr>
                      <w:color w:val="000000"/>
                      <w:sz w:val="21"/>
                    </w:rPr>
                    <w:t>数据</w:t>
                  </w:r>
                  <w:r>
                    <w:rPr>
                      <w:color w:val="000000"/>
                      <w:sz w:val="21"/>
                    </w:rPr>
                    <w:t>R/W代理</w:t>
                  </w:r>
                </w:p>
              </w:tc>
            </w:tr>
            <w:tr>
              <w:tc>
                <w:tcPr>
                  <w:tcW w:type="dxa" w:w="1866"/>
                  <w:vMerge w:val="restart"/>
                  <w:tcBorders>
                    <w:top w:val="none" w:color="000000" w:sz="4"/>
                    <w:left w:val="single" w:color="000000" w:sz="4"/>
                    <w:bottom w:val="single" w:color="000000" w:sz="4"/>
                    <w:right w:val="single" w:color="000000" w:sz="4"/>
                  </w:tcBorders>
                  <w:shd w:fill="FFFFFF"/>
                  <w:vAlign w:val="top"/>
                </w:tcPr>
                <w:p>
                  <w:pPr>
                    <w:jc w:val="center"/>
                  </w:pPr>
                  <w:r>
                    <w:rPr>
                      <w:color w:val="000000"/>
                      <w:sz w:val="21"/>
                    </w:rPr>
                    <w:t>2</w:t>
                  </w:r>
                </w:p>
              </w:tc>
              <w:tc>
                <w:tcPr>
                  <w:tcW w:type="dxa" w:w="1866"/>
                  <w:vMerge w:val="restart"/>
                  <w:tcBorders>
                    <w:top w:val="none" w:color="000000" w:sz="4"/>
                    <w:left w:val="none" w:color="000000" w:sz="4"/>
                    <w:bottom w:val="single" w:color="000000" w:sz="4"/>
                    <w:right w:val="single" w:color="000000" w:sz="4"/>
                  </w:tcBorders>
                  <w:shd w:fill="FFFFFF"/>
                  <w:vAlign w:val="top"/>
                </w:tcPr>
                <w:p>
                  <w:pPr>
                    <w:jc w:val="center"/>
                  </w:pPr>
                  <w:r>
                    <w:rPr>
                      <w:color w:val="000000"/>
                      <w:sz w:val="21"/>
                    </w:rPr>
                    <w:t>数据采集子系统</w:t>
                  </w:r>
                </w:p>
              </w:tc>
              <w:tc>
                <w:tcPr>
                  <w:tcW w:type="dxa" w:w="1866"/>
                  <w:tcBorders>
                    <w:top w:val="none" w:color="000000" w:sz="4"/>
                    <w:left w:val="none" w:color="000000" w:sz="4"/>
                    <w:bottom w:val="single" w:color="000000" w:sz="4"/>
                    <w:right w:val="single" w:color="000000" w:sz="4"/>
                  </w:tcBorders>
                  <w:vAlign w:val="top"/>
                </w:tcPr>
                <w:p>
                  <w:pPr>
                    <w:jc w:val="center"/>
                  </w:pPr>
                  <w:r>
                    <w:rPr>
                      <w:color w:val="000000"/>
                      <w:sz w:val="21"/>
                    </w:rPr>
                    <w:t>完全复制</w:t>
                  </w:r>
                </w:p>
              </w:tc>
            </w:tr>
            <w:tr>
              <w:tc>
                <w:tcPr>
                  <w:tcW w:type="dxa" w:w="1866"/>
                  <w:vMerge/>
                  <w:tcBorders>
                    <w:top w:val="none" w:color="000000" w:sz="4"/>
                    <w:left w:val="single" w:color="000000" w:sz="4"/>
                    <w:bottom w:val="single" w:color="000000" w:sz="4"/>
                    <w:right w:val="single" w:color="000000" w:sz="4"/>
                  </w:tcBorders>
                </w:tcPr>
                <w:p/>
              </w:tc>
              <w:tc>
                <w:tcPr>
                  <w:tcW w:type="dxa" w:w="1866"/>
                  <w:vMerge/>
                  <w:tcBorders>
                    <w:top w:val="none" w:color="000000" w:sz="4"/>
                    <w:left w:val="non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vAlign w:val="top"/>
                </w:tcPr>
                <w:p>
                  <w:pPr>
                    <w:jc w:val="center"/>
                  </w:pPr>
                  <w:r>
                    <w:rPr>
                      <w:color w:val="000000"/>
                      <w:sz w:val="21"/>
                    </w:rPr>
                    <w:t>增量复制</w:t>
                  </w:r>
                </w:p>
              </w:tc>
            </w:tr>
            <w:tr>
              <w:tc>
                <w:tcPr>
                  <w:tcW w:type="dxa" w:w="1866"/>
                  <w:vMerge/>
                  <w:tcBorders>
                    <w:top w:val="none" w:color="000000" w:sz="4"/>
                    <w:left w:val="single" w:color="000000" w:sz="4"/>
                    <w:bottom w:val="single" w:color="000000" w:sz="4"/>
                    <w:right w:val="single" w:color="000000" w:sz="4"/>
                  </w:tcBorders>
                </w:tcPr>
                <w:p/>
              </w:tc>
              <w:tc>
                <w:tcPr>
                  <w:tcW w:type="dxa" w:w="1866"/>
                  <w:vMerge/>
                  <w:tcBorders>
                    <w:top w:val="none" w:color="000000" w:sz="4"/>
                    <w:left w:val="non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vAlign w:val="top"/>
                </w:tcPr>
                <w:p>
                  <w:pPr>
                    <w:jc w:val="center"/>
                  </w:pPr>
                  <w:r>
                    <w:rPr>
                      <w:color w:val="000000"/>
                      <w:sz w:val="21"/>
                    </w:rPr>
                    <w:t>数据变化监听</w:t>
                  </w:r>
                </w:p>
              </w:tc>
            </w:tr>
            <w:tr>
              <w:tc>
                <w:tcPr>
                  <w:tcW w:type="dxa" w:w="1866"/>
                  <w:vMerge/>
                  <w:tcBorders>
                    <w:top w:val="none" w:color="000000" w:sz="4"/>
                    <w:left w:val="single" w:color="000000" w:sz="4"/>
                    <w:bottom w:val="single" w:color="000000" w:sz="4"/>
                    <w:right w:val="single" w:color="000000" w:sz="4"/>
                  </w:tcBorders>
                </w:tcPr>
                <w:p/>
              </w:tc>
              <w:tc>
                <w:tcPr>
                  <w:tcW w:type="dxa" w:w="1866"/>
                  <w:vMerge/>
                  <w:tcBorders>
                    <w:top w:val="none" w:color="000000" w:sz="4"/>
                    <w:left w:val="non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vAlign w:val="top"/>
                </w:tcPr>
                <w:p>
                  <w:pPr>
                    <w:jc w:val="center"/>
                  </w:pPr>
                  <w:r>
                    <w:rPr>
                      <w:color w:val="000000"/>
                      <w:sz w:val="21"/>
                    </w:rPr>
                    <w:t>数据表比对</w:t>
                  </w:r>
                </w:p>
              </w:tc>
            </w:tr>
            <w:tr>
              <w:tc>
                <w:tcPr>
                  <w:tcW w:type="dxa" w:w="1866"/>
                  <w:vMerge/>
                  <w:tcBorders>
                    <w:top w:val="none" w:color="000000" w:sz="4"/>
                    <w:left w:val="single" w:color="000000" w:sz="4"/>
                    <w:bottom w:val="single" w:color="000000" w:sz="4"/>
                    <w:right w:val="single" w:color="000000" w:sz="4"/>
                  </w:tcBorders>
                </w:tcPr>
                <w:p/>
              </w:tc>
              <w:tc>
                <w:tcPr>
                  <w:tcW w:type="dxa" w:w="1866"/>
                  <w:vMerge/>
                  <w:tcBorders>
                    <w:top w:val="none" w:color="000000" w:sz="4"/>
                    <w:left w:val="non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vAlign w:val="top"/>
                </w:tcPr>
                <w:p>
                  <w:pPr>
                    <w:jc w:val="center"/>
                  </w:pPr>
                  <w:r>
                    <w:rPr>
                      <w:color w:val="000000"/>
                      <w:sz w:val="21"/>
                    </w:rPr>
                    <w:t>数据采集配置</w:t>
                  </w:r>
                </w:p>
              </w:tc>
            </w:tr>
            <w:tr>
              <w:tc>
                <w:tcPr>
                  <w:tcW w:type="dxa" w:w="1866"/>
                  <w:vMerge w:val="restart"/>
                  <w:tcBorders>
                    <w:top w:val="none" w:color="000000" w:sz="4"/>
                    <w:left w:val="single" w:color="000000" w:sz="4"/>
                    <w:bottom w:val="single" w:color="000000" w:sz="4"/>
                    <w:right w:val="single" w:color="000000" w:sz="4"/>
                  </w:tcBorders>
                  <w:shd w:fill="FFFFFF"/>
                  <w:vAlign w:val="top"/>
                </w:tcPr>
                <w:p>
                  <w:pPr>
                    <w:jc w:val="center"/>
                  </w:pPr>
                  <w:r>
                    <w:rPr>
                      <w:color w:val="000000"/>
                      <w:sz w:val="21"/>
                    </w:rPr>
                    <w:t>3</w:t>
                  </w:r>
                </w:p>
              </w:tc>
              <w:tc>
                <w:tcPr>
                  <w:tcW w:type="dxa" w:w="1866"/>
                  <w:vMerge w:val="restart"/>
                  <w:tcBorders>
                    <w:top w:val="none" w:color="000000" w:sz="4"/>
                    <w:left w:val="none" w:color="000000" w:sz="4"/>
                    <w:bottom w:val="single" w:color="000000" w:sz="4"/>
                    <w:right w:val="single" w:color="000000" w:sz="4"/>
                  </w:tcBorders>
                  <w:shd w:fill="FFFFFF"/>
                  <w:vAlign w:val="top"/>
                </w:tcPr>
                <w:p>
                  <w:pPr>
                    <w:jc w:val="center"/>
                  </w:pPr>
                  <w:r>
                    <w:rPr>
                      <w:color w:val="000000"/>
                      <w:sz w:val="21"/>
                    </w:rPr>
                    <w:t>数据处理子系统</w:t>
                  </w:r>
                </w:p>
              </w:tc>
              <w:tc>
                <w:tcPr>
                  <w:tcW w:type="dxa" w:w="1866"/>
                  <w:tcBorders>
                    <w:top w:val="none" w:color="000000" w:sz="4"/>
                    <w:left w:val="none" w:color="000000" w:sz="4"/>
                    <w:bottom w:val="single" w:color="000000" w:sz="4"/>
                    <w:right w:val="single" w:color="000000" w:sz="4"/>
                  </w:tcBorders>
                  <w:vAlign w:val="top"/>
                </w:tcPr>
                <w:p>
                  <w:pPr>
                    <w:jc w:val="center"/>
                  </w:pPr>
                  <w:r>
                    <w:rPr>
                      <w:color w:val="000000"/>
                      <w:sz w:val="21"/>
                    </w:rPr>
                    <w:t>数据清洗</w:t>
                  </w:r>
                </w:p>
              </w:tc>
            </w:tr>
            <w:tr>
              <w:tc>
                <w:tcPr>
                  <w:tcW w:type="dxa" w:w="1866"/>
                  <w:vMerge/>
                  <w:tcBorders>
                    <w:top w:val="none" w:color="000000" w:sz="4"/>
                    <w:left w:val="single" w:color="000000" w:sz="4"/>
                    <w:bottom w:val="single" w:color="000000" w:sz="4"/>
                    <w:right w:val="single" w:color="000000" w:sz="4"/>
                  </w:tcBorders>
                </w:tcPr>
                <w:p/>
              </w:tc>
              <w:tc>
                <w:tcPr>
                  <w:tcW w:type="dxa" w:w="1866"/>
                  <w:vMerge/>
                  <w:tcBorders>
                    <w:top w:val="none" w:color="000000" w:sz="4"/>
                    <w:left w:val="non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vAlign w:val="top"/>
                </w:tcPr>
                <w:p>
                  <w:pPr>
                    <w:jc w:val="center"/>
                  </w:pPr>
                  <w:r>
                    <w:rPr>
                      <w:color w:val="000000"/>
                      <w:sz w:val="21"/>
                    </w:rPr>
                    <w:t>数据转换</w:t>
                  </w:r>
                </w:p>
              </w:tc>
            </w:tr>
            <w:tr>
              <w:tc>
                <w:tcPr>
                  <w:tcW w:type="dxa" w:w="1866"/>
                  <w:vMerge/>
                  <w:tcBorders>
                    <w:top w:val="none" w:color="000000" w:sz="4"/>
                    <w:left w:val="single" w:color="000000" w:sz="4"/>
                    <w:bottom w:val="single" w:color="000000" w:sz="4"/>
                    <w:right w:val="single" w:color="000000" w:sz="4"/>
                  </w:tcBorders>
                </w:tcPr>
                <w:p/>
              </w:tc>
              <w:tc>
                <w:tcPr>
                  <w:tcW w:type="dxa" w:w="1866"/>
                  <w:vMerge/>
                  <w:tcBorders>
                    <w:top w:val="none" w:color="000000" w:sz="4"/>
                    <w:left w:val="non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vAlign w:val="top"/>
                </w:tcPr>
                <w:p>
                  <w:pPr>
                    <w:jc w:val="center"/>
                  </w:pPr>
                  <w:r>
                    <w:rPr>
                      <w:color w:val="000000"/>
                      <w:sz w:val="21"/>
                    </w:rPr>
                    <w:t>数据合并</w:t>
                  </w:r>
                </w:p>
              </w:tc>
            </w:tr>
            <w:tr>
              <w:tc>
                <w:tcPr>
                  <w:tcW w:type="dxa" w:w="1866"/>
                  <w:vMerge/>
                  <w:tcBorders>
                    <w:top w:val="none" w:color="000000" w:sz="4"/>
                    <w:left w:val="single" w:color="000000" w:sz="4"/>
                    <w:bottom w:val="single" w:color="000000" w:sz="4"/>
                    <w:right w:val="single" w:color="000000" w:sz="4"/>
                  </w:tcBorders>
                </w:tcPr>
                <w:p/>
              </w:tc>
              <w:tc>
                <w:tcPr>
                  <w:tcW w:type="dxa" w:w="1866"/>
                  <w:vMerge/>
                  <w:tcBorders>
                    <w:top w:val="none" w:color="000000" w:sz="4"/>
                    <w:left w:val="non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vAlign w:val="top"/>
                </w:tcPr>
                <w:p>
                  <w:pPr>
                    <w:jc w:val="center"/>
                  </w:pPr>
                  <w:r>
                    <w:rPr>
                      <w:color w:val="000000"/>
                      <w:sz w:val="21"/>
                    </w:rPr>
                    <w:t>数据审核</w:t>
                  </w:r>
                </w:p>
              </w:tc>
            </w:tr>
            <w:tr>
              <w:tc>
                <w:tcPr>
                  <w:tcW w:type="dxa" w:w="1866"/>
                  <w:vMerge/>
                  <w:tcBorders>
                    <w:top w:val="none" w:color="000000" w:sz="4"/>
                    <w:left w:val="single" w:color="000000" w:sz="4"/>
                    <w:bottom w:val="single" w:color="000000" w:sz="4"/>
                    <w:right w:val="single" w:color="000000" w:sz="4"/>
                  </w:tcBorders>
                </w:tcPr>
                <w:p/>
              </w:tc>
              <w:tc>
                <w:tcPr>
                  <w:tcW w:type="dxa" w:w="1866"/>
                  <w:vMerge/>
                  <w:tcBorders>
                    <w:top w:val="none" w:color="000000" w:sz="4"/>
                    <w:left w:val="non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vAlign w:val="top"/>
                </w:tcPr>
                <w:p>
                  <w:pPr>
                    <w:jc w:val="center"/>
                  </w:pPr>
                  <w:r>
                    <w:rPr>
                      <w:color w:val="000000"/>
                      <w:sz w:val="21"/>
                    </w:rPr>
                    <w:t>数据入库</w:t>
                  </w:r>
                </w:p>
              </w:tc>
            </w:tr>
            <w:tr>
              <w:tc>
                <w:tcPr>
                  <w:tcW w:type="dxa" w:w="1866"/>
                  <w:vMerge w:val="restart"/>
                  <w:tcBorders>
                    <w:top w:val="none" w:color="000000" w:sz="4"/>
                    <w:left w:val="single" w:color="000000" w:sz="4"/>
                    <w:bottom w:val="single" w:color="000000" w:sz="4"/>
                    <w:right w:val="single" w:color="000000" w:sz="4"/>
                  </w:tcBorders>
                  <w:shd w:fill="FFFFFF"/>
                  <w:vAlign w:val="top"/>
                </w:tcPr>
                <w:p>
                  <w:pPr>
                    <w:jc w:val="center"/>
                  </w:pPr>
                  <w:r>
                    <w:rPr>
                      <w:color w:val="000000"/>
                      <w:sz w:val="21"/>
                    </w:rPr>
                    <w:t>4</w:t>
                  </w:r>
                </w:p>
              </w:tc>
              <w:tc>
                <w:tcPr>
                  <w:tcW w:type="dxa" w:w="1866"/>
                  <w:vMerge w:val="restart"/>
                  <w:tcBorders>
                    <w:top w:val="none" w:color="000000" w:sz="4"/>
                    <w:left w:val="none" w:color="000000" w:sz="4"/>
                    <w:bottom w:val="single" w:color="000000" w:sz="4"/>
                    <w:right w:val="single" w:color="000000" w:sz="4"/>
                  </w:tcBorders>
                  <w:shd w:fill="FFFFFF"/>
                  <w:vAlign w:val="top"/>
                </w:tcPr>
                <w:p>
                  <w:pPr>
                    <w:jc w:val="center"/>
                  </w:pPr>
                  <w:r>
                    <w:rPr>
                      <w:color w:val="000000"/>
                      <w:sz w:val="21"/>
                    </w:rPr>
                    <w:t>数据安全和监控子系统</w:t>
                  </w:r>
                </w:p>
              </w:tc>
              <w:tc>
                <w:tcPr>
                  <w:tcW w:type="dxa" w:w="1866"/>
                  <w:tcBorders>
                    <w:top w:val="none" w:color="000000" w:sz="4"/>
                    <w:left w:val="none" w:color="000000" w:sz="4"/>
                    <w:bottom w:val="single" w:color="000000" w:sz="4"/>
                    <w:right w:val="single" w:color="000000" w:sz="4"/>
                  </w:tcBorders>
                  <w:vAlign w:val="top"/>
                </w:tcPr>
                <w:p>
                  <w:pPr>
                    <w:jc w:val="center"/>
                  </w:pPr>
                  <w:r>
                    <w:rPr>
                      <w:color w:val="000000"/>
                      <w:sz w:val="21"/>
                    </w:rPr>
                    <w:t>数据安全防护</w:t>
                  </w:r>
                </w:p>
              </w:tc>
            </w:tr>
            <w:tr>
              <w:tc>
                <w:tcPr>
                  <w:tcW w:type="dxa" w:w="1866"/>
                  <w:vMerge/>
                  <w:tcBorders>
                    <w:top w:val="none" w:color="000000" w:sz="4"/>
                    <w:left w:val="single" w:color="000000" w:sz="4"/>
                    <w:bottom w:val="single" w:color="000000" w:sz="4"/>
                    <w:right w:val="single" w:color="000000" w:sz="4"/>
                  </w:tcBorders>
                </w:tcPr>
                <w:p/>
              </w:tc>
              <w:tc>
                <w:tcPr>
                  <w:tcW w:type="dxa" w:w="1866"/>
                  <w:vMerge/>
                  <w:tcBorders>
                    <w:top w:val="none" w:color="000000" w:sz="4"/>
                    <w:left w:val="non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vAlign w:val="top"/>
                </w:tcPr>
                <w:p>
                  <w:pPr>
                    <w:jc w:val="center"/>
                  </w:pPr>
                  <w:r>
                    <w:rPr>
                      <w:color w:val="000000"/>
                      <w:sz w:val="21"/>
                    </w:rPr>
                    <w:t>性能监控</w:t>
                  </w:r>
                </w:p>
              </w:tc>
            </w:tr>
            <w:tr>
              <w:tc>
                <w:tcPr>
                  <w:tcW w:type="dxa" w:w="1866"/>
                  <w:vMerge/>
                  <w:tcBorders>
                    <w:top w:val="none" w:color="000000" w:sz="4"/>
                    <w:left w:val="single" w:color="000000" w:sz="4"/>
                    <w:bottom w:val="single" w:color="000000" w:sz="4"/>
                    <w:right w:val="single" w:color="000000" w:sz="4"/>
                  </w:tcBorders>
                </w:tcPr>
                <w:p/>
              </w:tc>
              <w:tc>
                <w:tcPr>
                  <w:tcW w:type="dxa" w:w="1866"/>
                  <w:vMerge/>
                  <w:tcBorders>
                    <w:top w:val="none" w:color="000000" w:sz="4"/>
                    <w:left w:val="non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vAlign w:val="top"/>
                </w:tcPr>
                <w:p>
                  <w:pPr>
                    <w:jc w:val="center"/>
                  </w:pPr>
                  <w:r>
                    <w:rPr>
                      <w:color w:val="000000"/>
                      <w:sz w:val="21"/>
                    </w:rPr>
                    <w:t>故障报警和恢复</w:t>
                  </w:r>
                </w:p>
              </w:tc>
            </w:tr>
            <w:tr>
              <w:tc>
                <w:tcPr>
                  <w:tcW w:type="dxa" w:w="1866"/>
                  <w:vMerge/>
                  <w:tcBorders>
                    <w:top w:val="none" w:color="000000" w:sz="4"/>
                    <w:left w:val="single" w:color="000000" w:sz="4"/>
                    <w:bottom w:val="single" w:color="000000" w:sz="4"/>
                    <w:right w:val="single" w:color="000000" w:sz="4"/>
                  </w:tcBorders>
                </w:tcPr>
                <w:p/>
              </w:tc>
              <w:tc>
                <w:tcPr>
                  <w:tcW w:type="dxa" w:w="1866"/>
                  <w:vMerge/>
                  <w:tcBorders>
                    <w:top w:val="none" w:color="000000" w:sz="4"/>
                    <w:left w:val="non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vAlign w:val="top"/>
                </w:tcPr>
                <w:p>
                  <w:pPr>
                    <w:jc w:val="center"/>
                  </w:pPr>
                  <w:r>
                    <w:rPr>
                      <w:color w:val="000000"/>
                      <w:sz w:val="21"/>
                    </w:rPr>
                    <w:t>监控日志</w:t>
                  </w:r>
                </w:p>
              </w:tc>
            </w:tr>
            <w:tr>
              <w:tc>
                <w:tcPr>
                  <w:tcW w:type="dxa" w:w="1866"/>
                  <w:vMerge w:val="restart"/>
                  <w:tcBorders>
                    <w:top w:val="none" w:color="000000" w:sz="4"/>
                    <w:left w:val="single" w:color="000000" w:sz="4"/>
                    <w:bottom w:val="single" w:color="000000" w:sz="4"/>
                    <w:right w:val="single" w:color="000000" w:sz="4"/>
                  </w:tcBorders>
                  <w:shd w:fill="FFFFFF"/>
                  <w:vAlign w:val="top"/>
                </w:tcPr>
                <w:p>
                  <w:pPr>
                    <w:jc w:val="center"/>
                  </w:pPr>
                  <w:r>
                    <w:rPr>
                      <w:color w:val="000000"/>
                      <w:sz w:val="21"/>
                    </w:rPr>
                    <w:t>5</w:t>
                  </w:r>
                </w:p>
              </w:tc>
              <w:tc>
                <w:tcPr>
                  <w:tcW w:type="dxa" w:w="1866"/>
                  <w:vMerge w:val="restart"/>
                  <w:tcBorders>
                    <w:top w:val="none" w:color="000000" w:sz="4"/>
                    <w:left w:val="none" w:color="000000" w:sz="4"/>
                    <w:bottom w:val="single" w:color="000000" w:sz="4"/>
                    <w:right w:val="single" w:color="000000" w:sz="4"/>
                  </w:tcBorders>
                  <w:shd w:fill="FFFFFF"/>
                  <w:vAlign w:val="top"/>
                </w:tcPr>
                <w:p>
                  <w:pPr>
                    <w:jc w:val="center"/>
                  </w:pPr>
                  <w:r>
                    <w:rPr>
                      <w:color w:val="000000"/>
                      <w:sz w:val="21"/>
                    </w:rPr>
                    <w:t>后台管理</w:t>
                  </w:r>
                </w:p>
              </w:tc>
              <w:tc>
                <w:tcPr>
                  <w:tcW w:type="dxa" w:w="1866"/>
                  <w:tcBorders>
                    <w:top w:val="none" w:color="000000" w:sz="4"/>
                    <w:left w:val="none" w:color="000000" w:sz="4"/>
                    <w:bottom w:val="single" w:color="000000" w:sz="4"/>
                    <w:right w:val="single" w:color="000000" w:sz="4"/>
                  </w:tcBorders>
                  <w:vAlign w:val="top"/>
                </w:tcPr>
                <w:p>
                  <w:pPr>
                    <w:jc w:val="center"/>
                  </w:pPr>
                  <w:r>
                    <w:rPr>
                      <w:color w:val="000000"/>
                      <w:sz w:val="21"/>
                    </w:rPr>
                    <w:t>配置管理</w:t>
                  </w:r>
                </w:p>
              </w:tc>
            </w:tr>
            <w:tr>
              <w:tc>
                <w:tcPr>
                  <w:tcW w:type="dxa" w:w="1866"/>
                  <w:vMerge/>
                  <w:tcBorders>
                    <w:top w:val="none" w:color="000000" w:sz="4"/>
                    <w:left w:val="single" w:color="000000" w:sz="4"/>
                    <w:bottom w:val="single" w:color="000000" w:sz="4"/>
                    <w:right w:val="single" w:color="000000" w:sz="4"/>
                  </w:tcBorders>
                </w:tcPr>
                <w:p/>
              </w:tc>
              <w:tc>
                <w:tcPr>
                  <w:tcW w:type="dxa" w:w="1866"/>
                  <w:vMerge/>
                  <w:tcBorders>
                    <w:top w:val="none" w:color="000000" w:sz="4"/>
                    <w:left w:val="non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vAlign w:val="top"/>
                </w:tcPr>
                <w:p>
                  <w:pPr>
                    <w:jc w:val="center"/>
                  </w:pPr>
                  <w:r>
                    <w:rPr>
                      <w:color w:val="000000"/>
                      <w:sz w:val="21"/>
                    </w:rPr>
                    <w:t>用户管理</w:t>
                  </w:r>
                </w:p>
              </w:tc>
            </w:tr>
            <w:tr>
              <w:tc>
                <w:tcPr>
                  <w:tcW w:type="dxa" w:w="1866"/>
                  <w:vMerge/>
                  <w:tcBorders>
                    <w:top w:val="none" w:color="000000" w:sz="4"/>
                    <w:left w:val="single" w:color="000000" w:sz="4"/>
                    <w:bottom w:val="single" w:color="000000" w:sz="4"/>
                    <w:right w:val="single" w:color="000000" w:sz="4"/>
                  </w:tcBorders>
                </w:tcPr>
                <w:p/>
              </w:tc>
              <w:tc>
                <w:tcPr>
                  <w:tcW w:type="dxa" w:w="1866"/>
                  <w:vMerge/>
                  <w:tcBorders>
                    <w:top w:val="none" w:color="000000" w:sz="4"/>
                    <w:left w:val="non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vAlign w:val="top"/>
                </w:tcPr>
                <w:p>
                  <w:pPr>
                    <w:jc w:val="center"/>
                  </w:pPr>
                  <w:r>
                    <w:rPr>
                      <w:color w:val="000000"/>
                      <w:sz w:val="21"/>
                    </w:rPr>
                    <w:t>权限管理</w:t>
                  </w:r>
                </w:p>
              </w:tc>
            </w:tr>
            <w:tr>
              <w:tc>
                <w:tcPr>
                  <w:tcW w:type="dxa" w:w="1866"/>
                  <w:vMerge/>
                  <w:tcBorders>
                    <w:top w:val="none" w:color="000000" w:sz="4"/>
                    <w:left w:val="single" w:color="000000" w:sz="4"/>
                    <w:bottom w:val="single" w:color="000000" w:sz="4"/>
                    <w:right w:val="single" w:color="000000" w:sz="4"/>
                  </w:tcBorders>
                </w:tcPr>
                <w:p/>
              </w:tc>
              <w:tc>
                <w:tcPr>
                  <w:tcW w:type="dxa" w:w="1866"/>
                  <w:vMerge/>
                  <w:tcBorders>
                    <w:top w:val="none" w:color="000000" w:sz="4"/>
                    <w:left w:val="non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vAlign w:val="top"/>
                </w:tcPr>
                <w:p>
                  <w:pPr>
                    <w:jc w:val="center"/>
                  </w:pPr>
                  <w:r>
                    <w:rPr>
                      <w:color w:val="000000"/>
                      <w:sz w:val="21"/>
                    </w:rPr>
                    <w:t>数据备份与恢复</w:t>
                  </w:r>
                </w:p>
              </w:tc>
            </w:tr>
            <w:tr>
              <w:tc>
                <w:tcPr>
                  <w:tcW w:type="dxa" w:w="1866"/>
                  <w:vMerge/>
                  <w:tcBorders>
                    <w:top w:val="none" w:color="000000" w:sz="4"/>
                    <w:left w:val="single" w:color="000000" w:sz="4"/>
                    <w:bottom w:val="single" w:color="000000" w:sz="4"/>
                    <w:right w:val="single" w:color="000000" w:sz="4"/>
                  </w:tcBorders>
                </w:tcPr>
                <w:p/>
              </w:tc>
              <w:tc>
                <w:tcPr>
                  <w:tcW w:type="dxa" w:w="1866"/>
                  <w:vMerge/>
                  <w:tcBorders>
                    <w:top w:val="none" w:color="000000" w:sz="4"/>
                    <w:left w:val="non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vAlign w:val="top"/>
                </w:tcPr>
                <w:p>
                  <w:pPr>
                    <w:jc w:val="center"/>
                  </w:pPr>
                  <w:r>
                    <w:rPr>
                      <w:color w:val="000000"/>
                      <w:sz w:val="21"/>
                    </w:rPr>
                    <w:t>日志管理</w:t>
                  </w:r>
                </w:p>
              </w:tc>
            </w:tr>
          </w:tbl>
          <w:p>
            <w:pPr>
              <w:ind w:firstLine="462"/>
            </w:pPr>
            <w:r>
              <w:rPr>
                <w:b/>
                <w:color w:val="000000"/>
                <w:sz w:val="21"/>
              </w:rPr>
              <w:t>1</w:t>
            </w:r>
            <w:r>
              <w:rPr>
                <w:b/>
                <w:color w:val="000000"/>
                <w:sz w:val="21"/>
              </w:rPr>
              <w:t xml:space="preserve">.2  </w:t>
            </w:r>
            <w:r>
              <w:rPr>
                <w:b/>
                <w:color w:val="000000"/>
                <w:sz w:val="21"/>
              </w:rPr>
              <w:t>服务内容</w:t>
            </w:r>
          </w:p>
          <w:p>
            <w:pPr>
              <w:ind w:firstLine="462"/>
            </w:pPr>
            <w:r>
              <w:rPr>
                <w:b/>
                <w:color w:val="000000"/>
                <w:sz w:val="21"/>
              </w:rPr>
              <w:t>1</w:t>
            </w:r>
            <w:r>
              <w:rPr>
                <w:b/>
                <w:color w:val="000000"/>
                <w:sz w:val="21"/>
              </w:rPr>
              <w:t>.1.1</w:t>
            </w:r>
            <w:r>
              <w:rPr>
                <w:b/>
                <w:color w:val="000000"/>
                <w:sz w:val="21"/>
              </w:rPr>
              <w:t>服务内容</w:t>
            </w:r>
          </w:p>
          <w:tbl>
            <w:tblPr>
              <w:tblBorders>
                <w:top w:val="none" w:color="000000" w:sz="4"/>
                <w:left w:val="none" w:color="000000" w:sz="4"/>
                <w:bottom w:val="none" w:color="000000" w:sz="4"/>
                <w:right w:val="none" w:color="000000" w:sz="4"/>
                <w:insideH w:val="none"/>
                <w:insideV w:val="none"/>
              </w:tblBorders>
            </w:tblPr>
            <w:tblGrid>
              <w:gridCol w:w="2799"/>
              <w:gridCol w:w="2799"/>
            </w:tblGrid>
            <w:tr>
              <w:tc>
                <w:tcPr>
                  <w:tcW w:type="dxa" w:w="2799"/>
                  <w:tcBorders>
                    <w:top w:val="single" w:color="000000" w:sz="4"/>
                    <w:left w:val="single" w:color="000000" w:sz="4"/>
                    <w:bottom w:val="single" w:color="000000" w:sz="4"/>
                    <w:right w:val="single" w:color="000000" w:sz="4"/>
                  </w:tcBorders>
                  <w:vAlign w:val="top"/>
                </w:tcPr>
                <w:p>
                  <w:pPr>
                    <w:jc w:val="center"/>
                  </w:pPr>
                  <w:r>
                    <w:rPr>
                      <w:b/>
                      <w:color w:val="000000"/>
                      <w:sz w:val="21"/>
                    </w:rPr>
                    <w:t>项目名称</w:t>
                  </w:r>
                </w:p>
              </w:tc>
              <w:tc>
                <w:tcPr>
                  <w:tcW w:type="dxa" w:w="2799"/>
                  <w:tcBorders>
                    <w:top w:val="single" w:color="000000" w:sz="4"/>
                    <w:left w:val="none" w:color="000000" w:sz="4"/>
                    <w:bottom w:val="single" w:color="000000" w:sz="4"/>
                    <w:right w:val="single" w:color="000000" w:sz="4"/>
                  </w:tcBorders>
                  <w:vAlign w:val="top"/>
                </w:tcPr>
                <w:p>
                  <w:pPr>
                    <w:jc w:val="center"/>
                  </w:pPr>
                  <w:r>
                    <w:rPr>
                      <w:b/>
                      <w:color w:val="000000"/>
                      <w:sz w:val="21"/>
                    </w:rPr>
                    <w:t>项目内容</w:t>
                  </w:r>
                </w:p>
              </w:tc>
            </w:tr>
            <w:tr>
              <w:tc>
                <w:tcPr>
                  <w:tcW w:type="dxa" w:w="2799"/>
                  <w:tcBorders>
                    <w:top w:val="none" w:color="000000" w:sz="4"/>
                    <w:left w:val="single" w:color="000000" w:sz="4"/>
                    <w:bottom w:val="single" w:color="000000" w:sz="4"/>
                    <w:right w:val="single" w:color="000000" w:sz="4"/>
                  </w:tcBorders>
                  <w:vAlign w:val="top"/>
                </w:tcPr>
                <w:p>
                  <w:pPr>
                    <w:jc w:val="center"/>
                  </w:pPr>
                  <w:r>
                    <w:rPr>
                      <w:color w:val="000000"/>
                      <w:sz w:val="21"/>
                    </w:rPr>
                    <w:t>平台整体保障</w:t>
                  </w:r>
                </w:p>
              </w:tc>
              <w:tc>
                <w:tcPr>
                  <w:tcW w:type="dxa" w:w="2799"/>
                  <w:tcBorders>
                    <w:top w:val="none" w:color="000000" w:sz="4"/>
                    <w:left w:val="none" w:color="000000" w:sz="4"/>
                    <w:bottom w:val="single" w:color="000000" w:sz="4"/>
                    <w:right w:val="single" w:color="000000" w:sz="4"/>
                  </w:tcBorders>
                  <w:vAlign w:val="top"/>
                </w:tcPr>
                <w:p>
                  <w:pPr>
                    <w:jc w:val="left"/>
                  </w:pPr>
                  <w:r>
                    <w:rPr>
                      <w:color w:val="000000"/>
                      <w:sz w:val="21"/>
                    </w:rPr>
                    <w:t>包括佛山市教育数据银行管理系统框架下的自建模块的正常使用保障（功能、界面、路径、数据）。包括平台及其对应的操作系统、数据库的正常使用保障。</w:t>
                  </w:r>
                </w:p>
              </w:tc>
            </w:tr>
            <w:tr>
              <w:tc>
                <w:tcPr>
                  <w:tcW w:type="dxa" w:w="2799"/>
                  <w:tcBorders>
                    <w:top w:val="none" w:color="000000" w:sz="4"/>
                    <w:left w:val="single" w:color="000000" w:sz="4"/>
                    <w:bottom w:val="single" w:color="000000" w:sz="4"/>
                    <w:right w:val="single" w:color="000000" w:sz="4"/>
                  </w:tcBorders>
                  <w:vAlign w:val="top"/>
                </w:tcPr>
                <w:p>
                  <w:pPr>
                    <w:jc w:val="center"/>
                  </w:pPr>
                  <w:r>
                    <w:rPr>
                      <w:color w:val="000000"/>
                      <w:sz w:val="21"/>
                    </w:rPr>
                    <w:t>定期检查</w:t>
                  </w:r>
                </w:p>
              </w:tc>
              <w:tc>
                <w:tcPr>
                  <w:tcW w:type="dxa" w:w="2799"/>
                  <w:tcBorders>
                    <w:top w:val="none" w:color="000000" w:sz="4"/>
                    <w:left w:val="none" w:color="000000" w:sz="4"/>
                    <w:bottom w:val="single" w:color="000000" w:sz="4"/>
                    <w:right w:val="single" w:color="000000" w:sz="4"/>
                  </w:tcBorders>
                  <w:vAlign w:val="top"/>
                </w:tcPr>
                <w:p>
                  <w:pPr>
                    <w:jc w:val="left"/>
                  </w:pPr>
                  <w:r>
                    <w:rPr>
                      <w:color w:val="000000"/>
                      <w:sz w:val="21"/>
                    </w:rPr>
                    <w:t>提供每月一次的全面巡检，内容包括版本管理、安全管理、备份管理。</w:t>
                  </w:r>
                </w:p>
              </w:tc>
            </w:tr>
            <w:tr>
              <w:tc>
                <w:tcPr>
                  <w:tcW w:type="dxa" w:w="2799"/>
                  <w:tcBorders>
                    <w:top w:val="none" w:color="000000" w:sz="4"/>
                    <w:left w:val="single" w:color="000000" w:sz="4"/>
                    <w:bottom w:val="single" w:color="000000" w:sz="4"/>
                    <w:right w:val="single" w:color="000000" w:sz="4"/>
                  </w:tcBorders>
                  <w:vAlign w:val="top"/>
                </w:tcPr>
                <w:p>
                  <w:pPr>
                    <w:jc w:val="center"/>
                  </w:pPr>
                  <w:r>
                    <w:rPr>
                      <w:color w:val="000000"/>
                      <w:sz w:val="21"/>
                    </w:rPr>
                    <w:t>紧急现场支撑</w:t>
                  </w:r>
                </w:p>
              </w:tc>
              <w:tc>
                <w:tcPr>
                  <w:tcW w:type="dxa" w:w="2799"/>
                  <w:tcBorders>
                    <w:top w:val="none" w:color="000000" w:sz="4"/>
                    <w:left w:val="none" w:color="000000" w:sz="4"/>
                    <w:bottom w:val="single" w:color="000000" w:sz="4"/>
                    <w:right w:val="single" w:color="000000" w:sz="4"/>
                  </w:tcBorders>
                  <w:vAlign w:val="top"/>
                </w:tcPr>
                <w:p>
                  <w:pPr>
                    <w:jc w:val="left"/>
                  </w:pPr>
                  <w:r>
                    <w:rPr>
                      <w:color w:val="000000"/>
                      <w:sz w:val="21"/>
                    </w:rPr>
                    <w:t>紧急情况派驻运维人员进行现场技术支持，每年不超过</w:t>
                  </w:r>
                  <w:r>
                    <w:rPr>
                      <w:color w:val="000000"/>
                      <w:sz w:val="21"/>
                    </w:rPr>
                    <w:t>3次。</w:t>
                  </w:r>
                </w:p>
              </w:tc>
            </w:tr>
            <w:tr>
              <w:tc>
                <w:tcPr>
                  <w:tcW w:type="dxa" w:w="2799"/>
                  <w:tcBorders>
                    <w:top w:val="none" w:color="000000" w:sz="4"/>
                    <w:left w:val="single" w:color="000000" w:sz="4"/>
                    <w:bottom w:val="single" w:color="000000" w:sz="4"/>
                    <w:right w:val="single" w:color="000000" w:sz="4"/>
                  </w:tcBorders>
                  <w:vAlign w:val="top"/>
                </w:tcPr>
                <w:p>
                  <w:pPr>
                    <w:jc w:val="center"/>
                  </w:pPr>
                  <w:r>
                    <w:rPr>
                      <w:color w:val="000000"/>
                      <w:sz w:val="21"/>
                    </w:rPr>
                    <w:t>新用户培训</w:t>
                  </w:r>
                </w:p>
              </w:tc>
              <w:tc>
                <w:tcPr>
                  <w:tcW w:type="dxa" w:w="2799"/>
                  <w:tcBorders>
                    <w:top w:val="none" w:color="000000" w:sz="4"/>
                    <w:left w:val="none" w:color="000000" w:sz="4"/>
                    <w:bottom w:val="single" w:color="000000" w:sz="4"/>
                    <w:right w:val="single" w:color="000000" w:sz="4"/>
                  </w:tcBorders>
                  <w:vAlign w:val="top"/>
                </w:tcPr>
                <w:p>
                  <w:pPr>
                    <w:jc w:val="left"/>
                  </w:pPr>
                  <w:r>
                    <w:rPr>
                      <w:color w:val="000000"/>
                      <w:sz w:val="21"/>
                    </w:rPr>
                    <w:t>对新产生用户进行集中培训，每年度提供一次新用户培训服务。</w:t>
                  </w:r>
                </w:p>
              </w:tc>
            </w:tr>
            <w:tr>
              <w:tc>
                <w:tcPr>
                  <w:tcW w:type="dxa" w:w="2799"/>
                  <w:tcBorders>
                    <w:top w:val="none" w:color="000000" w:sz="4"/>
                    <w:left w:val="single" w:color="000000" w:sz="4"/>
                    <w:bottom w:val="single" w:color="000000" w:sz="4"/>
                    <w:right w:val="single" w:color="000000" w:sz="4"/>
                  </w:tcBorders>
                  <w:vAlign w:val="top"/>
                </w:tcPr>
                <w:p>
                  <w:pPr>
                    <w:jc w:val="center"/>
                  </w:pPr>
                  <w:r>
                    <w:rPr>
                      <w:color w:val="000000"/>
                      <w:sz w:val="21"/>
                    </w:rPr>
                    <w:t>系统安全服务</w:t>
                  </w:r>
                </w:p>
              </w:tc>
              <w:tc>
                <w:tcPr>
                  <w:tcW w:type="dxa" w:w="2799"/>
                  <w:tcBorders>
                    <w:top w:val="none" w:color="000000" w:sz="4"/>
                    <w:left w:val="none" w:color="000000" w:sz="4"/>
                    <w:bottom w:val="single" w:color="000000" w:sz="4"/>
                    <w:right w:val="single" w:color="000000" w:sz="4"/>
                  </w:tcBorders>
                  <w:vAlign w:val="top"/>
                </w:tcPr>
                <w:p>
                  <w:pPr>
                    <w:jc w:val="left"/>
                  </w:pPr>
                  <w:r>
                    <w:rPr>
                      <w:color w:val="000000"/>
                      <w:sz w:val="21"/>
                    </w:rPr>
                    <w:t>安全巡检服务、安全加固服务、服务器现场抢救。</w:t>
                  </w:r>
                </w:p>
              </w:tc>
            </w:tr>
          </w:tbl>
          <w:p>
            <w:pPr>
              <w:ind w:firstLine="462"/>
            </w:pPr>
            <w:r>
              <w:rPr>
                <w:b/>
                <w:color w:val="000000"/>
                <w:sz w:val="21"/>
              </w:rPr>
              <w:t>1</w:t>
            </w:r>
            <w:r>
              <w:rPr>
                <w:b/>
                <w:color w:val="000000"/>
                <w:sz w:val="21"/>
              </w:rPr>
              <w:t>.1.2</w:t>
            </w:r>
            <w:r>
              <w:rPr>
                <w:b/>
                <w:color w:val="000000"/>
                <w:sz w:val="21"/>
              </w:rPr>
              <w:t>服务要求</w:t>
            </w:r>
          </w:p>
          <w:p>
            <w:pPr>
              <w:ind w:firstLine="422"/>
              <w:jc w:val="both"/>
            </w:pPr>
            <w:r>
              <w:rPr>
                <w:b/>
                <w:color w:val="000000"/>
                <w:sz w:val="21"/>
              </w:rPr>
              <w:t>1）故障报告及处理</w:t>
            </w:r>
          </w:p>
          <w:p>
            <w:pPr>
              <w:ind w:firstLine="420"/>
              <w:jc w:val="both"/>
            </w:pPr>
            <w:r>
              <w:rPr>
                <w:color w:val="000000"/>
                <w:sz w:val="21"/>
              </w:rPr>
              <w:t>当信息系统及其接口等运维对象发生异常后，运维服务团队应对异常进行确认和分析，对非间歇性的系统异常认定为系统故障，并在故障发生后半小时之内向本单位报告。</w:t>
            </w:r>
          </w:p>
          <w:p>
            <w:pPr>
              <w:ind w:firstLine="420"/>
              <w:jc w:val="both"/>
            </w:pPr>
            <w:r>
              <w:rPr>
                <w:color w:val="000000"/>
                <w:sz w:val="21"/>
              </w:rPr>
              <w:t>在故障处理期间，运维服务团队应与本单位及其他运维服务团队紧密协助，共同分析和定位故障发生的原因，并制定和实施故障解决方案。</w:t>
            </w:r>
          </w:p>
          <w:p>
            <w:pPr>
              <w:ind w:firstLine="422"/>
              <w:jc w:val="both"/>
            </w:pPr>
            <w:r>
              <w:rPr>
                <w:b/>
                <w:color w:val="000000"/>
                <w:sz w:val="21"/>
              </w:rPr>
              <w:t>2）数据查询及调整</w:t>
            </w:r>
          </w:p>
          <w:p>
            <w:pPr>
              <w:ind w:firstLine="420"/>
              <w:jc w:val="both"/>
            </w:pPr>
            <w:r>
              <w:rPr>
                <w:color w:val="000000"/>
                <w:sz w:val="21"/>
              </w:rPr>
              <w:t>信息系统数据查询是本单位业务部门和信息部门的一项重要工作，运维服务团队应按照以下要求进行处理：</w:t>
            </w:r>
            <w:r>
              <w:rPr>
                <w:color w:val="000000"/>
                <w:sz w:val="21"/>
              </w:rPr>
              <w:t>Ø</w:t>
            </w:r>
          </w:p>
          <w:p>
            <w:pPr>
              <w:ind w:firstLine="840"/>
              <w:jc w:val="both"/>
            </w:pPr>
            <w:r>
              <w:rPr>
                <w:color w:val="000000"/>
                <w:sz w:val="21"/>
              </w:rPr>
              <w:t>查询的数据范围为本单位业务相关的数据，且是本单位相关数据库存储的数据；</w:t>
            </w:r>
          </w:p>
          <w:p>
            <w:pPr>
              <w:ind w:firstLine="420"/>
              <w:jc w:val="both"/>
            </w:pPr>
            <w:r>
              <w:rPr>
                <w:color w:val="000000"/>
                <w:sz w:val="21"/>
              </w:rPr>
              <w:t>Ø</w:t>
            </w:r>
            <w:r>
              <w:rPr>
                <w:color w:val="000000"/>
                <w:sz w:val="21"/>
              </w:rPr>
              <w:t>查询的结果中包含个人隐私的，应向本单位管理岗位人员报告后根据指示进行后续处理；</w:t>
            </w:r>
          </w:p>
          <w:p>
            <w:pPr>
              <w:ind w:firstLine="420"/>
              <w:jc w:val="both"/>
            </w:pPr>
            <w:r>
              <w:rPr>
                <w:color w:val="000000"/>
                <w:sz w:val="21"/>
              </w:rPr>
              <w:t>Ø</w:t>
            </w:r>
            <w:r>
              <w:rPr>
                <w:color w:val="000000"/>
                <w:sz w:val="21"/>
              </w:rPr>
              <w:t>查询的结果应按照规定进行反馈，特殊用途的查询结果可通过其他途经反馈；</w:t>
            </w:r>
          </w:p>
          <w:p>
            <w:pPr>
              <w:ind w:firstLine="420"/>
              <w:jc w:val="both"/>
            </w:pPr>
            <w:r>
              <w:rPr>
                <w:color w:val="000000"/>
                <w:sz w:val="21"/>
              </w:rPr>
              <w:t>Ø</w:t>
            </w:r>
            <w:r>
              <w:rPr>
                <w:color w:val="000000"/>
                <w:sz w:val="21"/>
              </w:rPr>
              <w:t>查询数据库的用户应使用本单位指定的查询用户；</w:t>
            </w:r>
          </w:p>
          <w:p>
            <w:pPr>
              <w:ind w:firstLine="420"/>
              <w:jc w:val="both"/>
            </w:pPr>
            <w:r>
              <w:rPr>
                <w:color w:val="000000"/>
                <w:sz w:val="21"/>
              </w:rPr>
              <w:t>Ø</w:t>
            </w:r>
            <w:r>
              <w:rPr>
                <w:color w:val="000000"/>
                <w:sz w:val="21"/>
              </w:rPr>
              <w:t>运维服务团队应定期对查询需求和方法进行整理，将高发和具有普遍推广意义的查询向本单位信息系统部门提出开发功能建议。</w:t>
            </w:r>
          </w:p>
          <w:p>
            <w:pPr>
              <w:ind w:firstLine="420"/>
              <w:jc w:val="both"/>
            </w:pPr>
            <w:r>
              <w:rPr>
                <w:color w:val="000000"/>
                <w:sz w:val="21"/>
              </w:rPr>
              <w:t>业务规则变更、系统缺陷、操作员误操作等原因会导致对信息系统数据进行调整，此类运维需求是一类刚性需求，如不进行处理甚至会引起业务阻断。故鉴于数据调整的重要性和严肃性，运维服务团队必须严格按照以下流程进行处理：</w:t>
            </w:r>
          </w:p>
          <w:p>
            <w:pPr>
              <w:ind w:firstLine="420"/>
              <w:jc w:val="both"/>
            </w:pPr>
            <w:r>
              <w:rPr>
                <w:color w:val="000000"/>
                <w:sz w:val="21"/>
              </w:rPr>
              <w:t>Ø</w:t>
            </w:r>
            <w:r>
              <w:rPr>
                <w:color w:val="000000"/>
                <w:sz w:val="21"/>
              </w:rPr>
              <w:t>对于重大调整，运维服务团队必须出具数据调整方案，并经本单位内部评审通过后才可后续实施；</w:t>
            </w:r>
          </w:p>
          <w:p>
            <w:pPr>
              <w:ind w:firstLine="420"/>
              <w:jc w:val="both"/>
            </w:pPr>
            <w:r>
              <w:rPr>
                <w:color w:val="000000"/>
                <w:sz w:val="21"/>
              </w:rPr>
              <w:t>Ø</w:t>
            </w:r>
            <w:r>
              <w:rPr>
                <w:color w:val="000000"/>
                <w:sz w:val="21"/>
              </w:rPr>
              <w:t>运维服务团队应编撰数据调整</w:t>
            </w:r>
            <w:r>
              <w:rPr>
                <w:color w:val="000000"/>
                <w:sz w:val="21"/>
              </w:rPr>
              <w:t>SQL 脚本，并根据数据所属数据库的管辖权转交给本单位相关人员执行；</w:t>
            </w:r>
          </w:p>
          <w:p>
            <w:pPr>
              <w:ind w:firstLine="420"/>
              <w:jc w:val="both"/>
            </w:pPr>
            <w:r>
              <w:rPr>
                <w:color w:val="000000"/>
                <w:sz w:val="21"/>
              </w:rPr>
              <w:t>Ø</w:t>
            </w:r>
            <w:r>
              <w:rPr>
                <w:color w:val="000000"/>
                <w:sz w:val="21"/>
              </w:rPr>
              <w:t>对于有参考和保存价值的方案和</w:t>
            </w:r>
            <w:r>
              <w:rPr>
                <w:color w:val="000000"/>
                <w:sz w:val="21"/>
              </w:rPr>
              <w:t>SQL 脚本，应进行梳理和归档。</w:t>
            </w:r>
          </w:p>
          <w:p>
            <w:pPr>
              <w:ind w:firstLine="422"/>
              <w:jc w:val="both"/>
            </w:pPr>
            <w:r>
              <w:rPr>
                <w:b/>
                <w:color w:val="000000"/>
                <w:sz w:val="21"/>
              </w:rPr>
              <w:t>3）操作和技术指导</w:t>
            </w:r>
          </w:p>
          <w:p>
            <w:pPr>
              <w:ind w:firstLine="420"/>
              <w:jc w:val="both"/>
            </w:pPr>
            <w:r>
              <w:rPr>
                <w:color w:val="000000"/>
                <w:sz w:val="21"/>
              </w:rPr>
              <w:t>运维服务团队应提供以下方面的指导：一是解答有关信息系统的操作疑问和问题；二是指导本单位数据库查询员编撰数据查询</w:t>
            </w:r>
            <w:r>
              <w:rPr>
                <w:color w:val="000000"/>
                <w:sz w:val="21"/>
              </w:rPr>
              <w:t>SQL脚本；三是向本单位信息人员定期介绍信息化的前沿技术。</w:t>
            </w:r>
          </w:p>
          <w:p>
            <w:pPr>
              <w:ind w:firstLine="422"/>
              <w:jc w:val="both"/>
            </w:pPr>
            <w:r>
              <w:rPr>
                <w:b/>
                <w:color w:val="000000"/>
                <w:sz w:val="21"/>
              </w:rPr>
              <w:t>4）性能调优、缺陷处理和适应性代码调整</w:t>
            </w:r>
          </w:p>
          <w:p>
            <w:pPr>
              <w:ind w:firstLine="420"/>
              <w:jc w:val="both"/>
            </w:pPr>
            <w:r>
              <w:rPr>
                <w:color w:val="000000"/>
                <w:sz w:val="21"/>
              </w:rPr>
              <w:t>运维对象进行性能调优是保障信息化生产系统稳健、高效运行的有效方法，进而可以提升用户满意度，因此运维服务团队应对本单位用户反馈的效率低下的系统模块的问题进行定位和分析，并及时（耗时最长不得超过</w:t>
            </w:r>
            <w:r>
              <w:rPr>
                <w:color w:val="000000"/>
                <w:sz w:val="21"/>
              </w:rPr>
              <w:t>10 个工作日）出具性能调优专项方案。</w:t>
            </w:r>
          </w:p>
          <w:p>
            <w:pPr>
              <w:ind w:firstLine="420"/>
              <w:jc w:val="both"/>
            </w:pPr>
            <w:r>
              <w:rPr>
                <w:color w:val="000000"/>
                <w:sz w:val="21"/>
              </w:rPr>
              <w:t>缺陷会导致信息系统出现数据错误、引发性能瓶颈，甚至导致发生业务中断的事故。因此为确保业务办理环境的平稳运行，运维服务团队应及时对反馈的程序缺陷问题进行定位和分析，并及时（耗时最长不得超过</w:t>
            </w:r>
            <w:r>
              <w:rPr>
                <w:color w:val="000000"/>
                <w:sz w:val="21"/>
              </w:rPr>
              <w:t>10 个工作日）出具缺陷修整方案。</w:t>
            </w:r>
          </w:p>
          <w:p>
            <w:pPr>
              <w:ind w:firstLine="420"/>
              <w:jc w:val="both"/>
            </w:pPr>
            <w:r>
              <w:rPr>
                <w:color w:val="000000"/>
                <w:sz w:val="21"/>
              </w:rPr>
              <w:t>为保障信息系统的变更能够适应业务变更的需要，适应性代码调整就是一个关键因素。为使该类工作（调整工作量每次少于</w:t>
            </w:r>
            <w:r>
              <w:rPr>
                <w:color w:val="000000"/>
                <w:sz w:val="21"/>
              </w:rPr>
              <w:t>3 个工作日）落到实处，运维服务团队在收到本单位的变更需求后，应及时（耗时最长不得超过10 个工作日）出具适应性代码调整方案。</w:t>
            </w:r>
          </w:p>
          <w:p>
            <w:pPr>
              <w:ind w:firstLine="420"/>
              <w:jc w:val="both"/>
            </w:pPr>
            <w:r>
              <w:rPr>
                <w:color w:val="000000"/>
                <w:sz w:val="21"/>
              </w:rPr>
              <w:t>运维服务团队在出具性能调优、缺陷处理和适应性代码调整优化方案（建议）后，应联系本单位对方案（建议）进行会议评审，然后根据评审意见和工作安排进行相关实施或移交处理。</w:t>
            </w:r>
          </w:p>
          <w:p>
            <w:pPr>
              <w:ind w:firstLine="422"/>
              <w:jc w:val="both"/>
            </w:pPr>
            <w:r>
              <w:rPr>
                <w:b/>
                <w:color w:val="000000"/>
                <w:sz w:val="21"/>
              </w:rPr>
              <w:t>5）补丁代码评审</w:t>
            </w:r>
          </w:p>
          <w:p>
            <w:pPr>
              <w:ind w:firstLine="420"/>
              <w:jc w:val="both"/>
            </w:pPr>
            <w:r>
              <w:rPr>
                <w:color w:val="000000"/>
                <w:sz w:val="21"/>
              </w:rPr>
              <w:t>为确保信息系统的稳定性和健壮性，对运维服务团队管辖的资源对象发布补丁之前，必须开展源代码评审工作，具体流程如下：</w:t>
            </w:r>
          </w:p>
          <w:p>
            <w:pPr>
              <w:ind w:firstLine="420"/>
              <w:jc w:val="both"/>
            </w:pPr>
            <w:r>
              <w:rPr>
                <w:color w:val="000000"/>
                <w:sz w:val="21"/>
              </w:rPr>
              <w:t>运维服务团队需收集和阅读补丁源代码，并进行初审工作；</w:t>
            </w:r>
          </w:p>
          <w:p>
            <w:pPr>
              <w:ind w:firstLine="420"/>
              <w:jc w:val="both"/>
            </w:pPr>
            <w:r>
              <w:rPr>
                <w:color w:val="000000"/>
                <w:sz w:val="21"/>
              </w:rPr>
              <w:t>运维服务团队相关人员、补丁提供人、本单位有关项目负责人、本单位运维岗位负责人召开补丁评审会议，就补丁涉及的业务背景、技术方案和源代码进行评审，并出具评审意见；</w:t>
            </w:r>
          </w:p>
          <w:p>
            <w:pPr>
              <w:ind w:firstLine="420"/>
              <w:jc w:val="both"/>
            </w:pPr>
            <w:r>
              <w:rPr>
                <w:color w:val="000000"/>
                <w:sz w:val="21"/>
              </w:rPr>
              <w:t>补丁代码评审通过后，再按照本单位的有关规定，进行发布工作。</w:t>
            </w:r>
          </w:p>
          <w:p>
            <w:pPr>
              <w:ind w:firstLine="422"/>
              <w:jc w:val="both"/>
            </w:pPr>
            <w:r>
              <w:rPr>
                <w:b/>
                <w:color w:val="000000"/>
                <w:sz w:val="21"/>
              </w:rPr>
              <w:t>6）运维经验积累</w:t>
            </w:r>
          </w:p>
          <w:p>
            <w:pPr>
              <w:ind w:firstLine="420"/>
              <w:jc w:val="both"/>
            </w:pPr>
            <w:r>
              <w:rPr>
                <w:color w:val="000000"/>
                <w:sz w:val="21"/>
              </w:rPr>
              <w:t>运维服务团队应在日常运维工作中，对有参考价值的问题、方案进行梳理和整合，并按照以下方式进行归集：</w:t>
            </w:r>
          </w:p>
          <w:p>
            <w:pPr>
              <w:ind w:firstLine="420"/>
              <w:jc w:val="both"/>
            </w:pPr>
            <w:r>
              <w:rPr>
                <w:color w:val="000000"/>
                <w:sz w:val="21"/>
              </w:rPr>
              <w:t>对于每个事件，如果存在数据查询、调整等</w:t>
            </w:r>
            <w:r>
              <w:rPr>
                <w:color w:val="000000"/>
                <w:sz w:val="21"/>
              </w:rPr>
              <w:t>SQL脚本的，应将SQL脚本保存到事件单的附件方案中；</w:t>
            </w:r>
          </w:p>
          <w:p>
            <w:pPr>
              <w:ind w:firstLine="420"/>
              <w:jc w:val="both"/>
            </w:pPr>
            <w:r>
              <w:rPr>
                <w:color w:val="000000"/>
                <w:sz w:val="21"/>
              </w:rPr>
              <w:t>每月对事件单进行梳理，将发生频率高、具备普遍借鉴意义的问题和处理方法存放；</w:t>
            </w:r>
          </w:p>
          <w:p>
            <w:pPr>
              <w:ind w:firstLine="420"/>
              <w:jc w:val="both"/>
            </w:pPr>
            <w:r>
              <w:rPr>
                <w:color w:val="000000"/>
                <w:sz w:val="21"/>
              </w:rPr>
              <w:t>对于系统操作、帮助等文档，以及相关信息系统工具、工作报告等资料，应在新增后放置。</w:t>
            </w:r>
          </w:p>
          <w:p>
            <w:pPr>
              <w:ind w:firstLine="420"/>
              <w:jc w:val="both"/>
            </w:pPr>
            <w:r>
              <w:rPr>
                <w:color w:val="000000"/>
                <w:sz w:val="21"/>
              </w:rPr>
              <w:t>系统在运行过程中，会发生各种各样的问题，通过问题清单的流程化处理方式，可以提高各类问题的解决效率，确保系统的正常运行，并能够更好的对运行中出现的问题进行集中整理、对比、分析，以挖掘系统运行隐患。具体的问题处理过程如下：</w:t>
            </w:r>
          </w:p>
          <w:p>
            <w:pPr>
              <w:ind w:firstLine="420"/>
              <w:jc w:val="both"/>
            </w:pPr>
            <w:r>
              <w:rPr>
                <w:color w:val="000000"/>
                <w:sz w:val="21"/>
              </w:rPr>
              <w:t>a</w:t>
            </w:r>
            <w:r>
              <w:rPr>
                <w:color w:val="000000"/>
                <w:sz w:val="21"/>
              </w:rPr>
              <w:t>.</w:t>
            </w:r>
            <w:r>
              <w:rPr>
                <w:color w:val="000000"/>
                <w:sz w:val="21"/>
              </w:rPr>
              <w:t>问题清单填报：问题的发现途径有多种情况，如用户提报、系统自动警告、预警、日常维护人员发现等等。在本项目中，依据运行维护管理体系，统一由日常维护的值班人员进行问题清单的填报，根据问题严重程度，进行等级划分，包括一般问题、故障、事故、重大问题。</w:t>
            </w:r>
          </w:p>
          <w:p>
            <w:pPr>
              <w:ind w:firstLine="420"/>
              <w:jc w:val="both"/>
            </w:pPr>
            <w:r>
              <w:rPr>
                <w:color w:val="000000"/>
                <w:sz w:val="21"/>
              </w:rPr>
              <w:t>b</w:t>
            </w:r>
            <w:r>
              <w:rPr>
                <w:color w:val="000000"/>
                <w:sz w:val="21"/>
              </w:rPr>
              <w:t>.</w:t>
            </w:r>
            <w:r>
              <w:rPr>
                <w:color w:val="000000"/>
                <w:sz w:val="21"/>
              </w:rPr>
              <w:t>问题清单转发：根据问题的严重程度，将问题转发至相关的组织机构。如：故障类问题直接转发至技术维护组；事故及重大事故需要转发给项目经理并汇报给项目领导组。问题单受理分派：项目经理协调各个成员组，共同分析问题所产生的原因，制定解决方案，明确责任分工，进行分派处理。</w:t>
            </w:r>
          </w:p>
          <w:p>
            <w:pPr>
              <w:ind w:firstLine="420"/>
              <w:jc w:val="both"/>
            </w:pPr>
            <w:r>
              <w:rPr>
                <w:color w:val="000000"/>
                <w:sz w:val="21"/>
              </w:rPr>
              <w:t>c</w:t>
            </w:r>
            <w:r>
              <w:rPr>
                <w:color w:val="000000"/>
                <w:sz w:val="21"/>
              </w:rPr>
              <w:t>.</w:t>
            </w:r>
            <w:r>
              <w:rPr>
                <w:color w:val="000000"/>
                <w:sz w:val="21"/>
              </w:rPr>
              <w:t>问题清单反馈及跟踪：问题在处理完毕之后，进行结果验证，明确问题的解决情况，并进行跟踪。</w:t>
            </w:r>
          </w:p>
          <w:p>
            <w:pPr>
              <w:ind w:firstLine="422"/>
              <w:jc w:val="both"/>
            </w:pPr>
            <w:r>
              <w:rPr>
                <w:b/>
                <w:color w:val="000000"/>
                <w:sz w:val="21"/>
              </w:rPr>
              <w:t>7）</w:t>
            </w:r>
            <w:r>
              <w:rPr>
                <w:b/>
                <w:color w:val="000000"/>
                <w:sz w:val="21"/>
              </w:rPr>
              <w:t>备份与恢复</w:t>
            </w:r>
          </w:p>
          <w:p>
            <w:pPr>
              <w:ind w:firstLine="420"/>
              <w:jc w:val="both"/>
            </w:pPr>
            <w:r>
              <w:rPr>
                <w:color w:val="000000"/>
                <w:sz w:val="21"/>
              </w:rPr>
              <w:t>备份维护是运行维护阶段的一项主要工作。备份的主要目的，就是实现备份对象的再利用价值。通过对系统或数据实施完整而有效的备份，并且在必要的时候进行安全而高效的恢复，才是有意义的备份维护。</w:t>
            </w:r>
          </w:p>
          <w:p>
            <w:pPr>
              <w:ind w:firstLine="420"/>
              <w:jc w:val="both"/>
            </w:pPr>
            <w:r>
              <w:rPr>
                <w:color w:val="000000"/>
                <w:sz w:val="21"/>
              </w:rPr>
              <w:t>系统备份与恢复</w:t>
            </w:r>
          </w:p>
          <w:p>
            <w:pPr>
              <w:ind w:firstLine="420"/>
              <w:jc w:val="both"/>
            </w:pPr>
            <w:r>
              <w:rPr>
                <w:color w:val="000000"/>
                <w:sz w:val="21"/>
              </w:rPr>
              <w:t>系统备份主要是备份各应用系统的相关配置参数和数据，系统备份分为系统全备份和系统关键数据备份两部分。</w:t>
            </w:r>
          </w:p>
          <w:p>
            <w:pPr>
              <w:ind w:firstLine="420"/>
              <w:jc w:val="both"/>
            </w:pPr>
            <w:r>
              <w:rPr>
                <w:color w:val="000000"/>
                <w:sz w:val="21"/>
              </w:rPr>
              <w:t>系统全备份的目的是为了保证在系统崩溃时能够在最短时间里将系统恢复，一般在系统安装的初期执行该备份一次即可；当系统出现重大改动或者升级之前，则需要再进行备份。</w:t>
            </w:r>
          </w:p>
          <w:p>
            <w:pPr>
              <w:ind w:firstLine="420"/>
              <w:jc w:val="both"/>
            </w:pPr>
            <w:r>
              <w:rPr>
                <w:color w:val="000000"/>
                <w:sz w:val="21"/>
              </w:rPr>
              <w:t>系统备份实施人员需要严格按照规范进行操作，并且详细记录系统备份的整个过程，包括原始状态信息、目的状态信息等，形成操作说明文档。当执行系统恢复操作时，可参照备份说明进行实施。</w:t>
            </w:r>
          </w:p>
          <w:p>
            <w:pPr>
              <w:ind w:firstLine="420"/>
              <w:jc w:val="both"/>
            </w:pPr>
            <w:r>
              <w:rPr>
                <w:color w:val="000000"/>
                <w:sz w:val="21"/>
              </w:rPr>
              <w:t>数据备份与恢复</w:t>
            </w:r>
          </w:p>
          <w:p>
            <w:pPr>
              <w:ind w:firstLine="420"/>
              <w:jc w:val="both"/>
            </w:pPr>
            <w:r>
              <w:rPr>
                <w:color w:val="000000"/>
                <w:sz w:val="21"/>
              </w:rPr>
              <w:t>数据备份主要是将数据通过某种方式，以特定格式加以保留，以便在系统遭受破坏或其他特定情况下，重新加以利用的一个过程。</w:t>
            </w:r>
          </w:p>
          <w:p>
            <w:pPr>
              <w:ind w:firstLine="420"/>
              <w:jc w:val="both"/>
            </w:pPr>
            <w:r>
              <w:rPr>
                <w:color w:val="000000"/>
                <w:sz w:val="21"/>
              </w:rPr>
              <w:t>数据备份是整个运行维护管理阶段中必不可少的组成部分。其意义不仅在于防范意外事件的破坏，而且还是历史数据保存归档的最佳方式。换言之，即便系统正常工作，没有任何数据丢失或破坏发生，备份工作仍然具有非常大的意义：通过数据备份，为历史数据查询、统计和分析，以及重要信息归档保存提供了可能。</w:t>
            </w:r>
          </w:p>
          <w:p>
            <w:pPr>
              <w:ind w:firstLine="420"/>
              <w:jc w:val="both"/>
            </w:pPr>
            <w:r>
              <w:rPr>
                <w:color w:val="000000"/>
                <w:sz w:val="21"/>
              </w:rPr>
              <w:t>数据备份实施人员需要根据具体情况，选择和优化数据备份工具或备份方法，充分考虑</w:t>
            </w:r>
            <w:r>
              <w:rPr>
                <w:color w:val="000000"/>
                <w:sz w:val="21"/>
              </w:rPr>
              <w:t>CPU占用率、磁盘空间占用情况、网络带宽占用量、单位数据量的备份时间等因素，以最低的资源占用率，来进行自动而高速度的数据备份。详细记录备份的时间、版本、内容等信息，以方便备份文件的管理与恢复。</w:t>
            </w:r>
          </w:p>
          <w:p>
            <w:pPr>
              <w:ind w:firstLine="422"/>
              <w:jc w:val="both"/>
            </w:pPr>
            <w:r>
              <w:rPr>
                <w:b/>
                <w:color w:val="000000"/>
                <w:sz w:val="21"/>
              </w:rPr>
              <w:t>8）升级维护</w:t>
            </w:r>
          </w:p>
          <w:p>
            <w:pPr>
              <w:ind w:firstLine="420"/>
              <w:jc w:val="both"/>
            </w:pPr>
            <w:r>
              <w:rPr>
                <w:color w:val="000000"/>
                <w:sz w:val="21"/>
              </w:rPr>
              <w:t>升级维护主要包括应用系统等软件产品的安装以及升级服务。需要根据实际情况以及用户需求，在不影响用户的正常使用情况下，定期或者不定期的进行升级维护服务。该项工作主要由运行维护</w:t>
            </w:r>
            <w:r>
              <w:rPr>
                <w:color w:val="000000"/>
                <w:sz w:val="21"/>
              </w:rPr>
              <w:t>的</w:t>
            </w:r>
            <w:r>
              <w:rPr>
                <w:color w:val="000000"/>
                <w:sz w:val="21"/>
              </w:rPr>
              <w:t>升级维护组负责实施。</w:t>
            </w:r>
          </w:p>
          <w:p>
            <w:pPr>
              <w:ind w:firstLine="420"/>
              <w:jc w:val="both"/>
            </w:pPr>
            <w:r>
              <w:rPr>
                <w:color w:val="000000"/>
                <w:sz w:val="21"/>
              </w:rPr>
              <w:t>安装服务</w:t>
            </w:r>
          </w:p>
          <w:p>
            <w:pPr>
              <w:ind w:firstLine="420"/>
              <w:jc w:val="both"/>
            </w:pPr>
            <w:r>
              <w:rPr>
                <w:color w:val="000000"/>
                <w:sz w:val="21"/>
              </w:rPr>
              <w:t>正确的产品安装和配置是正常使用和发挥其性能的基本前提。在安装设备之前，需要先对用户进行现场培训；安装过程中，需要相关技术人员参与安装、配置、检测和排除故障；在施工、安装、调试等全过程中</w:t>
            </w:r>
            <w:r>
              <w:rPr>
                <w:color w:val="000000"/>
                <w:sz w:val="21"/>
              </w:rPr>
              <w:t>运维服务团队</w:t>
            </w:r>
            <w:r>
              <w:rPr>
                <w:color w:val="000000"/>
                <w:sz w:val="21"/>
              </w:rPr>
              <w:t>将接受</w:t>
            </w:r>
            <w:r>
              <w:rPr>
                <w:color w:val="000000"/>
                <w:sz w:val="21"/>
              </w:rPr>
              <w:t>本单位</w:t>
            </w:r>
            <w:r>
              <w:rPr>
                <w:color w:val="000000"/>
                <w:sz w:val="21"/>
              </w:rPr>
              <w:t>相关部门的监督。具体操作流程如下：</w:t>
            </w:r>
          </w:p>
          <w:p>
            <w:pPr>
              <w:ind w:firstLine="420"/>
              <w:jc w:val="both"/>
            </w:pPr>
            <w:r>
              <w:rPr>
                <w:color w:val="000000"/>
                <w:sz w:val="21"/>
              </w:rPr>
              <w:t>制定安装配置计划：为了不影响用户的正常使用或者时间进度，由升级维护组的服务人员制定安装配置计划并提出供安装现场的要求和建议。</w:t>
            </w:r>
          </w:p>
          <w:p>
            <w:pPr>
              <w:ind w:firstLine="420"/>
              <w:jc w:val="both"/>
            </w:pPr>
            <w:r>
              <w:rPr>
                <w:color w:val="000000"/>
                <w:sz w:val="21"/>
              </w:rPr>
              <w:t>实施安装与配置：安装授权程序及相关的修正性系统软件；进行合理化配置；形成配置文档，交由运行维护组存档，并提交给最终用户。</w:t>
            </w:r>
          </w:p>
          <w:p>
            <w:pPr>
              <w:ind w:firstLine="420"/>
              <w:jc w:val="both"/>
            </w:pPr>
            <w:r>
              <w:rPr>
                <w:color w:val="000000"/>
                <w:sz w:val="21"/>
              </w:rPr>
              <w:t>验证测试：当安装与配置完毕之后，需要运行维护组与检查平台项目负责人共同确认安装结果并进行记录。</w:t>
            </w:r>
          </w:p>
          <w:p>
            <w:pPr>
              <w:ind w:firstLine="420"/>
              <w:jc w:val="both"/>
            </w:pPr>
            <w:r>
              <w:rPr>
                <w:color w:val="000000"/>
                <w:sz w:val="21"/>
              </w:rPr>
              <w:t>备份服务</w:t>
            </w:r>
          </w:p>
          <w:p>
            <w:pPr>
              <w:ind w:firstLine="420"/>
              <w:jc w:val="both"/>
            </w:pPr>
            <w:r>
              <w:rPr>
                <w:color w:val="000000"/>
                <w:sz w:val="21"/>
              </w:rPr>
              <w:t>在实施升级服务之前，必须对系统及数据进行备份。由于在升级过程中，可能会因升级版本的不稳定因素造成系统运行中断等严重故障。在此情况下，可以直接恢复为原稳定版本以保证系统的正常运行。</w:t>
            </w:r>
          </w:p>
          <w:p>
            <w:pPr>
              <w:ind w:firstLine="420"/>
              <w:jc w:val="both"/>
            </w:pPr>
            <w:r>
              <w:rPr>
                <w:color w:val="000000"/>
                <w:sz w:val="21"/>
              </w:rPr>
              <w:t>升级服务</w:t>
            </w:r>
          </w:p>
          <w:p>
            <w:pPr>
              <w:ind w:firstLine="420"/>
              <w:jc w:val="both"/>
            </w:pPr>
            <w:r>
              <w:rPr>
                <w:color w:val="000000"/>
                <w:sz w:val="21"/>
              </w:rPr>
              <w:t>根据运行维护管理计划，运行维护组将定时通报系件的升级情况。若网站保密检查平台项目主管领导提出对系统实施升级，当确认该项功能确实存在升级改进必要，那么在软件保证期内，</w:t>
            </w:r>
            <w:r>
              <w:rPr>
                <w:color w:val="000000"/>
                <w:sz w:val="21"/>
              </w:rPr>
              <w:t>运维服务团队</w:t>
            </w:r>
            <w:r>
              <w:rPr>
                <w:color w:val="000000"/>
                <w:sz w:val="21"/>
              </w:rPr>
              <w:t>将根据实际情况不定期的给予免费升级，提供升级版本和相应的支持服务。系统软件升级后，运行维护组将对系统的升级安装、调试给予必要的技术支持，并对用户的后续开发提供技术支持。具体流程如下：</w:t>
            </w:r>
          </w:p>
          <w:p>
            <w:pPr>
              <w:ind w:firstLine="420"/>
              <w:jc w:val="both"/>
            </w:pPr>
            <w:r>
              <w:rPr>
                <w:color w:val="000000"/>
                <w:sz w:val="21"/>
              </w:rPr>
              <w:t>升级服务请求：用户根据实际需求提出升级要求，填写升级请求单，交由项目经理审核；</w:t>
            </w:r>
          </w:p>
          <w:p>
            <w:pPr>
              <w:ind w:firstLine="420"/>
              <w:jc w:val="both"/>
            </w:pPr>
            <w:r>
              <w:rPr>
                <w:color w:val="000000"/>
                <w:sz w:val="21"/>
              </w:rPr>
              <w:t>升级服务审核：</w:t>
            </w:r>
            <w:r>
              <w:rPr>
                <w:color w:val="000000"/>
                <w:sz w:val="21"/>
              </w:rPr>
              <w:t>运维服务团队</w:t>
            </w:r>
            <w:r>
              <w:rPr>
                <w:color w:val="000000"/>
                <w:sz w:val="21"/>
              </w:rPr>
              <w:t>项目经理审核通过后，组织相关技术实施人员完成升级部分的功能开发、设计、测试，最终形成升级版本，下发至升级维护租；如果升级服务请求没有通过审核，则直接反馈给用户；</w:t>
            </w:r>
          </w:p>
          <w:p>
            <w:pPr>
              <w:ind w:firstLine="420"/>
              <w:jc w:val="both"/>
            </w:pPr>
            <w:r>
              <w:rPr>
                <w:color w:val="000000"/>
                <w:sz w:val="21"/>
              </w:rPr>
              <w:t>升级服务实施：确认升级版本之后，将现有系统及数据进行备份，再进行升级操作。如果升级成功则着重对更新版本进行跟踪，以确认该版本稳定性；如出现升级失败的情况，升级维护组需要尽快恢复升级前的备份版本，并保证其正常的运行。由相关技术实施人员重新对升级部分进行测试评估等工作。</w:t>
            </w:r>
          </w:p>
          <w:p>
            <w:pPr>
              <w:ind w:firstLine="462"/>
            </w:pPr>
            <w:r>
              <w:rPr>
                <w:b/>
                <w:color w:val="000000"/>
                <w:sz w:val="21"/>
              </w:rPr>
              <w:t>1</w:t>
            </w:r>
            <w:r>
              <w:rPr>
                <w:b/>
                <w:color w:val="000000"/>
                <w:sz w:val="21"/>
              </w:rPr>
              <w:t>.3</w:t>
            </w:r>
            <w:r>
              <w:rPr>
                <w:b/>
                <w:color w:val="000000"/>
                <w:sz w:val="21"/>
              </w:rPr>
              <w:t>运维服务时限要求</w:t>
            </w:r>
          </w:p>
          <w:p>
            <w:pPr>
              <w:ind w:firstLine="420"/>
              <w:jc w:val="left"/>
            </w:pPr>
            <w:r>
              <w:rPr>
                <w:color w:val="000000"/>
                <w:sz w:val="21"/>
              </w:rPr>
              <w:t>为实现本单位提供稳定、高效和安全的文化公共服务的运维目标，就必须严抓运维服务质量，而运维时限是衡量服务质量重要指标，现对系统运维时限做如下要求，详见下表：</w:t>
            </w:r>
          </w:p>
          <w:tbl>
            <w:tblPr>
              <w:tblInd w:type="dxa" w:w="120"/>
              <w:tblBorders>
                <w:top w:val="none" w:color="000000" w:sz="4"/>
                <w:left w:val="none" w:color="000000" w:sz="4"/>
                <w:bottom w:val="none" w:color="000000" w:sz="4"/>
                <w:right w:val="none" w:color="000000" w:sz="4"/>
                <w:insideH w:val="none"/>
                <w:insideV w:val="none"/>
              </w:tblBorders>
            </w:tblPr>
            <w:tblGrid>
              <w:gridCol w:w="1399"/>
              <w:gridCol w:w="1351"/>
              <w:gridCol w:w="1351"/>
              <w:gridCol w:w="1496"/>
            </w:tblGrid>
            <w:tr>
              <w:tc>
                <w:tcPr>
                  <w:tcW w:type="dxa" w:w="1399"/>
                  <w:vMerge w:val="restart"/>
                  <w:tcBorders>
                    <w:top w:val="single" w:color="000000" w:sz="4"/>
                    <w:left w:val="single" w:color="000000" w:sz="4"/>
                    <w:bottom w:val="single" w:color="000000" w:sz="4"/>
                    <w:right w:val="single" w:color="000000" w:sz="4"/>
                  </w:tcBorders>
                  <w:vAlign w:val="top"/>
                </w:tcPr>
                <w:p>
                  <w:pPr>
                    <w:jc w:val="center"/>
                  </w:pPr>
                  <w:r>
                    <w:rPr>
                      <w:b/>
                      <w:color w:val="000000"/>
                      <w:sz w:val="21"/>
                    </w:rPr>
                    <w:t>外聘运维服务团队</w:t>
                  </w:r>
                </w:p>
              </w:tc>
              <w:tc>
                <w:tcPr>
                  <w:tcW w:type="dxa" w:w="4198"/>
                  <w:gridSpan w:val="3"/>
                  <w:tcBorders>
                    <w:top w:val="single" w:color="000000" w:sz="4"/>
                    <w:left w:val="single" w:color="000000" w:sz="4"/>
                    <w:bottom w:val="single" w:color="000000" w:sz="4"/>
                    <w:right w:val="single" w:color="000000" w:sz="4"/>
                  </w:tcBorders>
                  <w:vAlign w:val="top"/>
                </w:tcPr>
                <w:p>
                  <w:pPr>
                    <w:jc w:val="center"/>
                  </w:pPr>
                  <w:r>
                    <w:rPr>
                      <w:b/>
                      <w:color w:val="000000"/>
                      <w:sz w:val="21"/>
                    </w:rPr>
                    <w:t>处理形式时限要求</w:t>
                  </w:r>
                </w:p>
              </w:tc>
            </w:tr>
            <w:tr>
              <w:tc>
                <w:tcPr>
                  <w:tcW w:type="dxa" w:w="1399"/>
                  <w:vMerge/>
                  <w:tcBorders>
                    <w:top w:val="single" w:color="000000" w:sz="4"/>
                    <w:left w:val="single" w:color="000000" w:sz="4"/>
                    <w:bottom w:val="single" w:color="000000" w:sz="4"/>
                    <w:right w:val="single" w:color="000000" w:sz="4"/>
                  </w:tcBorders>
                </w:tcPr>
                <w:p/>
              </w:tc>
              <w:tc>
                <w:tcPr>
                  <w:tcW w:type="dxa" w:w="2702"/>
                  <w:gridSpan w:val="2"/>
                  <w:tcBorders>
                    <w:top w:val="none" w:color="000000" w:sz="4"/>
                    <w:left w:val="single" w:color="000000" w:sz="4"/>
                    <w:bottom w:val="single" w:color="000000" w:sz="4"/>
                    <w:right w:val="single" w:color="000000" w:sz="4"/>
                  </w:tcBorders>
                  <w:vAlign w:val="top"/>
                </w:tcPr>
                <w:p>
                  <w:pPr>
                    <w:jc w:val="center"/>
                  </w:pPr>
                  <w:r>
                    <w:rPr>
                      <w:b/>
                      <w:color w:val="000000"/>
                      <w:sz w:val="21"/>
                    </w:rPr>
                    <w:t>事件管理</w:t>
                  </w:r>
                </w:p>
              </w:tc>
              <w:tc>
                <w:tcPr>
                  <w:tcW w:type="dxa" w:w="1496"/>
                  <w:vMerge w:val="restart"/>
                  <w:tcBorders>
                    <w:top w:val="single" w:color="000000" w:sz="4"/>
                    <w:left w:val="single" w:color="000000" w:sz="4"/>
                    <w:bottom w:val="single" w:color="000000" w:sz="4"/>
                    <w:right w:val="single" w:color="000000" w:sz="4"/>
                  </w:tcBorders>
                  <w:vAlign w:val="top"/>
                </w:tcPr>
                <w:p>
                  <w:pPr>
                    <w:jc w:val="center"/>
                  </w:pPr>
                  <w:r>
                    <w:rPr>
                      <w:b/>
                      <w:color w:val="000000"/>
                      <w:sz w:val="21"/>
                    </w:rPr>
                    <w:t>定期维保</w:t>
                  </w:r>
                </w:p>
              </w:tc>
            </w:tr>
            <w:tr>
              <w:tc>
                <w:tcPr>
                  <w:tcW w:type="dxa" w:w="1399"/>
                  <w:vMerge/>
                  <w:tcBorders>
                    <w:top w:val="single" w:color="000000" w:sz="4"/>
                    <w:left w:val="single" w:color="000000" w:sz="4"/>
                    <w:bottom w:val="single" w:color="000000" w:sz="4"/>
                    <w:right w:val="single" w:color="000000" w:sz="4"/>
                  </w:tcBorders>
                </w:tcPr>
                <w:p/>
              </w:tc>
              <w:tc>
                <w:tcPr>
                  <w:tcW w:type="dxa" w:w="1351"/>
                  <w:tcBorders>
                    <w:top w:val="none" w:color="000000" w:sz="4"/>
                    <w:left w:val="single" w:color="000000" w:sz="4"/>
                    <w:bottom w:val="single" w:color="000000" w:sz="4"/>
                    <w:right w:val="single" w:color="000000" w:sz="4"/>
                  </w:tcBorders>
                  <w:vAlign w:val="top"/>
                </w:tcPr>
                <w:p>
                  <w:pPr>
                    <w:jc w:val="center"/>
                  </w:pPr>
                  <w:r>
                    <w:rPr>
                      <w:color w:val="000000"/>
                      <w:sz w:val="21"/>
                    </w:rPr>
                    <w:t>日常型</w:t>
                  </w:r>
                  <w:r>
                    <w:rPr>
                      <w:color w:val="000000"/>
                      <w:sz w:val="21"/>
                    </w:rPr>
                    <w:t>(</w:t>
                  </w:r>
                  <w:r>
                    <w:rPr>
                      <w:color w:val="000000"/>
                      <w:sz w:val="21"/>
                    </w:rPr>
                    <w:t>工作日</w:t>
                  </w:r>
                  <w:r>
                    <w:rPr>
                      <w:color w:val="000000"/>
                      <w:sz w:val="21"/>
                    </w:rPr>
                    <w:t>)</w:t>
                  </w:r>
                </w:p>
              </w:tc>
              <w:tc>
                <w:tcPr>
                  <w:tcW w:type="dxa" w:w="1351"/>
                  <w:tcBorders>
                    <w:top w:val="none" w:color="000000" w:sz="4"/>
                    <w:left w:val="single" w:color="000000" w:sz="4"/>
                    <w:bottom w:val="single" w:color="000000" w:sz="4"/>
                    <w:right w:val="single" w:color="000000" w:sz="4"/>
                  </w:tcBorders>
                  <w:vAlign w:val="top"/>
                </w:tcPr>
                <w:p>
                  <w:pPr>
                    <w:jc w:val="center"/>
                  </w:pPr>
                  <w:r>
                    <w:rPr>
                      <w:color w:val="000000"/>
                      <w:sz w:val="21"/>
                    </w:rPr>
                    <w:t>应急型</w:t>
                  </w:r>
                </w:p>
              </w:tc>
            </w:tr>
            <w:tr>
              <w:tc>
                <w:tcPr>
                  <w:tcW w:type="dxa" w:w="1399"/>
                  <w:tcBorders>
                    <w:top w:val="none" w:color="000000" w:sz="4"/>
                    <w:left w:val="single" w:color="000000" w:sz="4"/>
                    <w:bottom w:val="single" w:color="000000" w:sz="4"/>
                    <w:right w:val="single" w:color="000000" w:sz="4"/>
                  </w:tcBorders>
                  <w:vAlign w:val="top"/>
                </w:tcPr>
                <w:p>
                  <w:pPr>
                    <w:jc w:val="center"/>
                  </w:pPr>
                  <w:r>
                    <w:rPr>
                      <w:color w:val="000000"/>
                      <w:sz w:val="21"/>
                    </w:rPr>
                    <w:t>信息系统运维服务团队</w:t>
                  </w:r>
                </w:p>
              </w:tc>
              <w:tc>
                <w:tcPr>
                  <w:tcW w:type="dxa" w:w="1351"/>
                  <w:tcBorders>
                    <w:top w:val="none" w:color="000000" w:sz="4"/>
                    <w:left w:val="single" w:color="000000" w:sz="4"/>
                    <w:bottom w:val="single" w:color="000000" w:sz="4"/>
                    <w:right w:val="single" w:color="000000" w:sz="4"/>
                  </w:tcBorders>
                  <w:vAlign w:val="top"/>
                </w:tcPr>
                <w:p>
                  <w:pPr>
                    <w:jc w:val="center"/>
                  </w:pPr>
                  <w:r>
                    <w:rPr>
                      <w:color w:val="000000"/>
                      <w:sz w:val="21"/>
                    </w:rPr>
                    <w:t>0.5</w:t>
                  </w:r>
                  <w:r>
                    <w:rPr>
                      <w:color w:val="000000"/>
                      <w:sz w:val="21"/>
                    </w:rPr>
                    <w:t>（响应）</w:t>
                  </w:r>
                  <w:r>
                    <w:rPr>
                      <w:color w:val="000000"/>
                      <w:sz w:val="21"/>
                    </w:rPr>
                    <w:t>+ 3</w:t>
                  </w:r>
                  <w:r>
                    <w:rPr>
                      <w:color w:val="000000"/>
                      <w:sz w:val="21"/>
                    </w:rPr>
                    <w:t>（处理）</w:t>
                  </w:r>
                  <w:r>
                    <w:rPr>
                      <w:color w:val="000000"/>
                      <w:sz w:val="21"/>
                    </w:rPr>
                    <w:t>+ 1</w:t>
                  </w:r>
                  <w:r>
                    <w:rPr>
                      <w:color w:val="000000"/>
                      <w:sz w:val="21"/>
                    </w:rPr>
                    <w:t>（转交）</w:t>
                  </w:r>
                </w:p>
              </w:tc>
              <w:tc>
                <w:tcPr>
                  <w:tcW w:type="dxa" w:w="1351"/>
                  <w:tcBorders>
                    <w:top w:val="none" w:color="000000" w:sz="4"/>
                    <w:left w:val="single" w:color="000000" w:sz="4"/>
                    <w:bottom w:val="single" w:color="000000" w:sz="4"/>
                    <w:right w:val="single" w:color="000000" w:sz="4"/>
                  </w:tcBorders>
                  <w:vAlign w:val="top"/>
                </w:tcPr>
                <w:p>
                  <w:pPr>
                    <w:jc w:val="both"/>
                  </w:pPr>
                  <w:r>
                    <w:rPr>
                      <w:color w:val="000000"/>
                      <w:sz w:val="21"/>
                    </w:rPr>
                    <w:t>①提供</w:t>
                  </w:r>
                  <w:r>
                    <w:rPr>
                      <w:color w:val="000000"/>
                      <w:sz w:val="21"/>
                    </w:rPr>
                    <w:t>7</w:t>
                  </w:r>
                  <w:r>
                    <w:rPr>
                      <w:color w:val="000000"/>
                      <w:sz w:val="21"/>
                    </w:rPr>
                    <w:t>×</w:t>
                  </w:r>
                  <w:r>
                    <w:rPr>
                      <w:color w:val="000000"/>
                      <w:sz w:val="21"/>
                    </w:rPr>
                    <w:t>24</w:t>
                  </w:r>
                  <w:r>
                    <w:rPr>
                      <w:color w:val="000000"/>
                      <w:sz w:val="21"/>
                    </w:rPr>
                    <w:t>小时应急服务；</w:t>
                  </w:r>
                </w:p>
                <w:p>
                  <w:pPr>
                    <w:jc w:val="both"/>
                  </w:pPr>
                  <w:r>
                    <w:rPr>
                      <w:color w:val="000000"/>
                      <w:sz w:val="21"/>
                    </w:rPr>
                    <w:t>②需在半小时内对故障做出响应；</w:t>
                  </w:r>
                </w:p>
                <w:p>
                  <w:pPr>
                    <w:jc w:val="both"/>
                  </w:pPr>
                  <w:r>
                    <w:rPr>
                      <w:color w:val="000000"/>
                      <w:sz w:val="21"/>
                    </w:rPr>
                    <w:t>③处理的时限由各采购分项分别规定。</w:t>
                  </w:r>
                </w:p>
              </w:tc>
              <w:tc>
                <w:tcPr>
                  <w:tcW w:type="dxa" w:w="1496"/>
                  <w:tcBorders>
                    <w:top w:val="none" w:color="000000" w:sz="4"/>
                    <w:left w:val="single" w:color="000000" w:sz="4"/>
                    <w:bottom w:val="single" w:color="000000" w:sz="4"/>
                    <w:right w:val="single" w:color="000000" w:sz="4"/>
                  </w:tcBorders>
                  <w:vAlign w:val="top"/>
                </w:tcPr>
                <w:p>
                  <w:pPr>
                    <w:jc w:val="center"/>
                  </w:pPr>
                  <w:r>
                    <w:rPr>
                      <w:color w:val="000000"/>
                      <w:sz w:val="21"/>
                    </w:rPr>
                    <w:t>按本单位与运维服务公司约定日期到场进行运维处理</w:t>
                  </w:r>
                </w:p>
              </w:tc>
            </w:tr>
          </w:tbl>
          <w:p>
            <w:pPr>
              <w:ind w:firstLine="420"/>
              <w:jc w:val="left"/>
            </w:pPr>
            <w:r>
              <w:rPr>
                <w:color w:val="000000"/>
                <w:sz w:val="21"/>
              </w:rPr>
              <w:t>注：</w:t>
            </w:r>
          </w:p>
          <w:p>
            <w:pPr>
              <w:ind w:firstLine="420"/>
              <w:jc w:val="left"/>
            </w:pPr>
            <w:r>
              <w:rPr>
                <w:color w:val="000000"/>
                <w:sz w:val="21"/>
              </w:rPr>
              <w:t>响应：是指运维服务团队要将指派到本单位的运维工作安排到具体的处理人；</w:t>
            </w:r>
          </w:p>
          <w:p>
            <w:pPr>
              <w:ind w:firstLine="420"/>
              <w:jc w:val="left"/>
            </w:pPr>
            <w:r>
              <w:rPr>
                <w:color w:val="000000"/>
                <w:sz w:val="21"/>
              </w:rPr>
              <w:t>处理：是指属本团队内完成的事项必须在规定的日期内处理完毕；</w:t>
            </w:r>
          </w:p>
          <w:p>
            <w:pPr>
              <w:ind w:firstLine="420"/>
              <w:jc w:val="left"/>
            </w:pPr>
            <w:r>
              <w:rPr>
                <w:color w:val="000000"/>
                <w:sz w:val="21"/>
              </w:rPr>
              <w:t>转交：是指同一运维事件需要多方共同处理的，每个团队在完成本属于本团队必须处理的事项后，应及时将运维工作进行有效转办。</w:t>
            </w:r>
          </w:p>
          <w:p>
            <w:pPr>
              <w:ind w:firstLine="462"/>
            </w:pPr>
            <w:r>
              <w:rPr>
                <w:b/>
                <w:color w:val="000000"/>
                <w:sz w:val="21"/>
              </w:rPr>
              <w:t>1</w:t>
            </w:r>
            <w:r>
              <w:rPr>
                <w:b/>
                <w:color w:val="000000"/>
                <w:sz w:val="21"/>
              </w:rPr>
              <w:t>.4</w:t>
            </w:r>
            <w:r>
              <w:rPr>
                <w:b/>
                <w:color w:val="000000"/>
                <w:sz w:val="21"/>
              </w:rPr>
              <w:t>安全及保密要求</w:t>
            </w:r>
          </w:p>
          <w:p>
            <w:pPr>
              <w:ind w:firstLine="420"/>
              <w:jc w:val="left"/>
            </w:pPr>
            <w:r>
              <w:rPr>
                <w:color w:val="000000"/>
                <w:sz w:val="21"/>
              </w:rPr>
              <w:t>运维服务公司及其到现场进行维护的运维人员需要按照本单位的规定签署保密协议。</w:t>
            </w:r>
          </w:p>
          <w:p>
            <w:pPr>
              <w:ind w:firstLine="420"/>
              <w:jc w:val="both"/>
            </w:pPr>
            <w:r>
              <w:rPr>
                <w:color w:val="000000"/>
                <w:sz w:val="21"/>
              </w:rPr>
              <w:t>运维服务公司及其到现场进行维护的运维人员必须遵守本单位的安全保密规定，使用的专用运维工具需得到本单位许可后方可使用。</w:t>
            </w:r>
          </w:p>
          <w:p>
            <w:pPr>
              <w:jc w:val="both"/>
            </w:pPr>
          </w:p>
          <w:p>
            <w:r>
              <w:rPr>
                <w:b/>
                <w:color w:val="000000"/>
                <w:sz w:val="21"/>
              </w:rPr>
              <w:t>2、佛山市教育数据银行数据处理服务</w:t>
            </w:r>
          </w:p>
          <w:p>
            <w:pPr>
              <w:ind w:firstLine="462"/>
            </w:pPr>
            <w:r>
              <w:rPr>
                <w:b/>
                <w:color w:val="000000"/>
                <w:sz w:val="21"/>
              </w:rPr>
              <w:t>2</w:t>
            </w:r>
            <w:r>
              <w:rPr>
                <w:b/>
                <w:color w:val="000000"/>
                <w:sz w:val="21"/>
              </w:rPr>
              <w:t xml:space="preserve">.1  </w:t>
            </w:r>
            <w:r>
              <w:rPr>
                <w:b/>
                <w:color w:val="000000"/>
                <w:sz w:val="21"/>
              </w:rPr>
              <w:t>佛山市教育数据银行数据采集服务</w:t>
            </w:r>
          </w:p>
          <w:p>
            <w:pPr>
              <w:ind w:firstLine="420"/>
              <w:jc w:val="both"/>
            </w:pPr>
            <w:r>
              <w:rPr>
                <w:color w:val="000000"/>
                <w:sz w:val="21"/>
              </w:rPr>
              <w:t>在保障数据</w:t>
            </w:r>
            <w:r>
              <w:rPr>
                <w:color w:val="000000"/>
                <w:sz w:val="21"/>
              </w:rPr>
              <w:t>采集全面性、及时性的前提下，采用</w:t>
            </w:r>
            <w:r>
              <w:rPr>
                <w:color w:val="000000"/>
                <w:sz w:val="21"/>
              </w:rPr>
              <w:t>“主</w:t>
            </w:r>
            <w:r>
              <w:rPr>
                <w:color w:val="000000"/>
                <w:sz w:val="21"/>
              </w:rPr>
              <w:t>源牵引、分级补充</w:t>
            </w:r>
            <w:r>
              <w:rPr>
                <w:color w:val="000000"/>
                <w:sz w:val="21"/>
              </w:rPr>
              <w:t>”的</w:t>
            </w:r>
            <w:r>
              <w:rPr>
                <w:color w:val="000000"/>
                <w:sz w:val="21"/>
              </w:rPr>
              <w:t>采集策略，</w:t>
            </w:r>
            <w:r>
              <w:rPr>
                <w:color w:val="000000"/>
                <w:sz w:val="21"/>
              </w:rPr>
              <w:t>对</w:t>
            </w:r>
            <w:r>
              <w:rPr>
                <w:color w:val="000000"/>
                <w:sz w:val="21"/>
              </w:rPr>
              <w:t>省系统这一主要数据来源</w:t>
            </w:r>
            <w:r>
              <w:rPr>
                <w:color w:val="000000"/>
                <w:sz w:val="21"/>
              </w:rPr>
              <w:t>采用周期性</w:t>
            </w:r>
            <w:r>
              <w:rPr>
                <w:color w:val="000000"/>
                <w:sz w:val="21"/>
              </w:rPr>
              <w:t>的全范围采集</w:t>
            </w:r>
            <w:r>
              <w:rPr>
                <w:color w:val="000000"/>
                <w:sz w:val="21"/>
              </w:rPr>
              <w:t>方式</w:t>
            </w:r>
            <w:r>
              <w:rPr>
                <w:color w:val="000000"/>
                <w:sz w:val="21"/>
              </w:rPr>
              <w:t>，对市、区</w:t>
            </w:r>
            <w:r>
              <w:rPr>
                <w:color w:val="000000"/>
                <w:sz w:val="21"/>
              </w:rPr>
              <w:t>、</w:t>
            </w:r>
            <w:r>
              <w:rPr>
                <w:color w:val="000000"/>
                <w:sz w:val="21"/>
              </w:rPr>
              <w:t>镇</w:t>
            </w:r>
            <w:r>
              <w:rPr>
                <w:color w:val="000000"/>
                <w:sz w:val="21"/>
              </w:rPr>
              <w:t>街</w:t>
            </w:r>
            <w:r>
              <w:rPr>
                <w:color w:val="000000"/>
                <w:sz w:val="21"/>
              </w:rPr>
              <w:t>等教育管理部门及</w:t>
            </w:r>
            <w:r>
              <w:rPr>
                <w:color w:val="000000"/>
                <w:sz w:val="21"/>
              </w:rPr>
              <w:t>下辖</w:t>
            </w:r>
            <w:r>
              <w:rPr>
                <w:color w:val="000000"/>
                <w:sz w:val="21"/>
              </w:rPr>
              <w:t>教育机构的机构信息、教职工信息</w:t>
            </w:r>
            <w:r>
              <w:rPr>
                <w:color w:val="000000"/>
                <w:sz w:val="21"/>
              </w:rPr>
              <w:t>、</w:t>
            </w:r>
            <w:r>
              <w:rPr>
                <w:color w:val="000000"/>
                <w:sz w:val="21"/>
              </w:rPr>
              <w:t>学生信息等次要</w:t>
            </w:r>
            <w:r>
              <w:rPr>
                <w:color w:val="000000"/>
                <w:sz w:val="21"/>
              </w:rPr>
              <w:t>数据</w:t>
            </w:r>
            <w:r>
              <w:rPr>
                <w:color w:val="000000"/>
                <w:sz w:val="21"/>
              </w:rPr>
              <w:t>来源采用</w:t>
            </w:r>
            <w:r>
              <w:rPr>
                <w:color w:val="000000"/>
                <w:sz w:val="21"/>
              </w:rPr>
              <w:t>补充</w:t>
            </w:r>
            <w:r>
              <w:rPr>
                <w:color w:val="000000"/>
                <w:sz w:val="21"/>
              </w:rPr>
              <w:t>、</w:t>
            </w:r>
            <w:r>
              <w:rPr>
                <w:color w:val="000000"/>
                <w:sz w:val="21"/>
              </w:rPr>
              <w:t>审核、</w:t>
            </w:r>
            <w:r>
              <w:rPr>
                <w:color w:val="000000"/>
                <w:sz w:val="21"/>
              </w:rPr>
              <w:t>确认</w:t>
            </w:r>
            <w:r>
              <w:rPr>
                <w:color w:val="000000"/>
                <w:sz w:val="21"/>
              </w:rPr>
              <w:t>的</w:t>
            </w:r>
            <w:r>
              <w:rPr>
                <w:color w:val="000000"/>
                <w:sz w:val="21"/>
              </w:rPr>
              <w:t>采集方式</w:t>
            </w:r>
            <w:r>
              <w:rPr>
                <w:color w:val="000000"/>
                <w:sz w:val="21"/>
              </w:rPr>
              <w:t>，同时</w:t>
            </w:r>
            <w:r>
              <w:rPr>
                <w:color w:val="000000"/>
                <w:sz w:val="21"/>
              </w:rPr>
              <w:t>提供</w:t>
            </w:r>
            <w:r>
              <w:rPr>
                <w:color w:val="000000"/>
                <w:sz w:val="21"/>
              </w:rPr>
              <w:t>高效</w:t>
            </w:r>
            <w:r>
              <w:rPr>
                <w:color w:val="000000"/>
                <w:sz w:val="21"/>
              </w:rPr>
              <w:t>的</w:t>
            </w:r>
            <w:r>
              <w:rPr>
                <w:color w:val="000000"/>
                <w:sz w:val="21"/>
              </w:rPr>
              <w:t>信息化</w:t>
            </w:r>
            <w:r>
              <w:rPr>
                <w:color w:val="000000"/>
                <w:sz w:val="21"/>
              </w:rPr>
              <w:t>采集</w:t>
            </w:r>
            <w:r>
              <w:rPr>
                <w:color w:val="000000"/>
                <w:sz w:val="21"/>
              </w:rPr>
              <w:t>辅助</w:t>
            </w:r>
            <w:r>
              <w:rPr>
                <w:color w:val="000000"/>
                <w:sz w:val="21"/>
              </w:rPr>
              <w:t>软件工具，从而保证数据采集的高效性、准确性。采集</w:t>
            </w:r>
            <w:r>
              <w:rPr>
                <w:color w:val="000000"/>
                <w:sz w:val="21"/>
              </w:rPr>
              <w:t>内容主要包括</w:t>
            </w:r>
            <w:r>
              <w:rPr>
                <w:color w:val="000000"/>
                <w:sz w:val="21"/>
              </w:rPr>
              <w:t>以下几类：</w:t>
            </w:r>
          </w:p>
          <w:p>
            <w:pPr>
              <w:ind w:firstLine="420"/>
            </w:pPr>
            <w:r>
              <w:rPr>
                <w:color w:val="000000"/>
                <w:sz w:val="21"/>
              </w:rPr>
              <w:t>1）教师信息数据采集：对佛山市教师信息202</w:t>
            </w:r>
            <w:r>
              <w:rPr>
                <w:color w:val="000000"/>
                <w:sz w:val="21"/>
              </w:rPr>
              <w:t>3</w:t>
            </w:r>
            <w:r>
              <w:rPr>
                <w:color w:val="000000"/>
                <w:sz w:val="21"/>
              </w:rPr>
              <w:t>年度至</w:t>
            </w:r>
            <w:r>
              <w:rPr>
                <w:color w:val="000000"/>
                <w:sz w:val="21"/>
              </w:rPr>
              <w:t>202</w:t>
            </w:r>
            <w:r>
              <w:rPr>
                <w:color w:val="000000"/>
                <w:sz w:val="21"/>
              </w:rPr>
              <w:t>5</w:t>
            </w:r>
            <w:r>
              <w:rPr>
                <w:color w:val="000000"/>
                <w:sz w:val="21"/>
              </w:rPr>
              <w:t>年度中每年度新增数据进行采集。</w:t>
            </w:r>
          </w:p>
          <w:p>
            <w:pPr>
              <w:ind w:firstLine="420"/>
            </w:pPr>
            <w:r>
              <w:rPr>
                <w:color w:val="000000"/>
                <w:sz w:val="21"/>
              </w:rPr>
              <w:t>2）中小学学籍数据采集：对佛山市中小学学籍信息202</w:t>
            </w:r>
            <w:r>
              <w:rPr>
                <w:color w:val="000000"/>
                <w:sz w:val="21"/>
              </w:rPr>
              <w:t>3</w:t>
            </w:r>
            <w:r>
              <w:rPr>
                <w:color w:val="000000"/>
                <w:sz w:val="21"/>
              </w:rPr>
              <w:t>年度至</w:t>
            </w:r>
            <w:r>
              <w:rPr>
                <w:color w:val="000000"/>
                <w:sz w:val="21"/>
              </w:rPr>
              <w:t>202</w:t>
            </w:r>
            <w:r>
              <w:rPr>
                <w:color w:val="000000"/>
                <w:sz w:val="21"/>
              </w:rPr>
              <w:t>5</w:t>
            </w:r>
            <w:r>
              <w:rPr>
                <w:color w:val="000000"/>
                <w:sz w:val="21"/>
              </w:rPr>
              <w:t>年度中每年度新增数据进行采集。</w:t>
            </w:r>
          </w:p>
          <w:p>
            <w:pPr>
              <w:ind w:firstLine="420"/>
            </w:pPr>
            <w:r>
              <w:rPr>
                <w:color w:val="000000"/>
                <w:sz w:val="21"/>
              </w:rPr>
              <w:t>3）职校学生数据采集：对佛山市职校学生信息202</w:t>
            </w:r>
            <w:r>
              <w:rPr>
                <w:color w:val="000000"/>
                <w:sz w:val="21"/>
              </w:rPr>
              <w:t>3</w:t>
            </w:r>
            <w:r>
              <w:rPr>
                <w:color w:val="000000"/>
                <w:sz w:val="21"/>
              </w:rPr>
              <w:t>年度至</w:t>
            </w:r>
            <w:r>
              <w:rPr>
                <w:color w:val="000000"/>
                <w:sz w:val="21"/>
              </w:rPr>
              <w:t>202</w:t>
            </w:r>
            <w:r>
              <w:rPr>
                <w:color w:val="000000"/>
                <w:sz w:val="21"/>
              </w:rPr>
              <w:t>5</w:t>
            </w:r>
            <w:r>
              <w:rPr>
                <w:color w:val="000000"/>
                <w:sz w:val="21"/>
              </w:rPr>
              <w:t>年度中每年度新增数据采集。</w:t>
            </w:r>
          </w:p>
          <w:p>
            <w:pPr>
              <w:ind w:firstLine="420"/>
            </w:pPr>
            <w:r>
              <w:rPr>
                <w:color w:val="000000"/>
                <w:sz w:val="21"/>
              </w:rPr>
              <w:t>4）学前教育数据采集：对佛山市学前教育信息202</w:t>
            </w:r>
            <w:r>
              <w:rPr>
                <w:color w:val="000000"/>
                <w:sz w:val="21"/>
              </w:rPr>
              <w:t>3</w:t>
            </w:r>
            <w:r>
              <w:rPr>
                <w:color w:val="000000"/>
                <w:sz w:val="21"/>
              </w:rPr>
              <w:t>年度至</w:t>
            </w:r>
            <w:r>
              <w:rPr>
                <w:color w:val="000000"/>
                <w:sz w:val="21"/>
              </w:rPr>
              <w:t>202</w:t>
            </w:r>
            <w:r>
              <w:rPr>
                <w:color w:val="000000"/>
                <w:sz w:val="21"/>
              </w:rPr>
              <w:t>5</w:t>
            </w:r>
            <w:r>
              <w:rPr>
                <w:color w:val="000000"/>
                <w:sz w:val="21"/>
              </w:rPr>
              <w:t>年度中每年度新增数据进行采集。</w:t>
            </w:r>
          </w:p>
          <w:p>
            <w:pPr>
              <w:ind w:firstLine="420"/>
              <w:jc w:val="both"/>
            </w:pPr>
            <w:r>
              <w:rPr>
                <w:color w:val="000000"/>
                <w:sz w:val="21"/>
              </w:rPr>
              <w:t>5）教育机构信息数据采集：对佛山市教育机构信息202</w:t>
            </w:r>
            <w:r>
              <w:rPr>
                <w:color w:val="000000"/>
                <w:sz w:val="21"/>
              </w:rPr>
              <w:t>3</w:t>
            </w:r>
            <w:r>
              <w:rPr>
                <w:color w:val="000000"/>
                <w:sz w:val="21"/>
              </w:rPr>
              <w:t>年度至</w:t>
            </w:r>
            <w:r>
              <w:rPr>
                <w:color w:val="000000"/>
                <w:sz w:val="21"/>
              </w:rPr>
              <w:t>202</w:t>
            </w:r>
            <w:r>
              <w:rPr>
                <w:color w:val="000000"/>
                <w:sz w:val="21"/>
              </w:rPr>
              <w:t>5</w:t>
            </w:r>
            <w:r>
              <w:rPr>
                <w:color w:val="000000"/>
                <w:sz w:val="21"/>
              </w:rPr>
              <w:t>年度中每年度新增数据进行采集。</w:t>
            </w:r>
          </w:p>
          <w:p>
            <w:pPr>
              <w:ind w:firstLine="462"/>
            </w:pPr>
            <w:r>
              <w:rPr>
                <w:b/>
                <w:color w:val="000000"/>
                <w:sz w:val="21"/>
              </w:rPr>
              <w:t>2</w:t>
            </w:r>
            <w:r>
              <w:rPr>
                <w:b/>
                <w:color w:val="000000"/>
                <w:sz w:val="21"/>
              </w:rPr>
              <w:t>.2</w:t>
            </w:r>
            <w:r>
              <w:rPr>
                <w:b/>
                <w:color w:val="000000"/>
                <w:sz w:val="21"/>
              </w:rPr>
              <w:t>佛山市教育数据银行数据整理服务</w:t>
            </w:r>
          </w:p>
          <w:p>
            <w:pPr>
              <w:ind w:firstLine="420"/>
            </w:pPr>
            <w:r>
              <w:rPr>
                <w:color w:val="000000"/>
                <w:sz w:val="21"/>
              </w:rPr>
              <w:t>佛山市教育局</w:t>
            </w:r>
            <w:r>
              <w:rPr>
                <w:color w:val="000000"/>
                <w:sz w:val="21"/>
              </w:rPr>
              <w:t>202</w:t>
            </w:r>
            <w:r>
              <w:rPr>
                <w:color w:val="000000"/>
                <w:sz w:val="21"/>
              </w:rPr>
              <w:t>3</w:t>
            </w:r>
            <w:r>
              <w:rPr>
                <w:color w:val="000000"/>
                <w:sz w:val="21"/>
              </w:rPr>
              <w:t>年度至</w:t>
            </w:r>
            <w:r>
              <w:rPr>
                <w:color w:val="000000"/>
                <w:sz w:val="21"/>
              </w:rPr>
              <w:t>202</w:t>
            </w:r>
            <w:r>
              <w:rPr>
                <w:color w:val="000000"/>
                <w:sz w:val="21"/>
              </w:rPr>
              <w:t>5</w:t>
            </w:r>
            <w:r>
              <w:rPr>
                <w:color w:val="000000"/>
                <w:sz w:val="21"/>
              </w:rPr>
              <w:t>年度每年度所需采集数据，需因应国家、省、市各级部门的具体政策及相关要求作出及时相应和调整，由于数据来源复杂，来自国家、省规定的不同系统，且各系统的数据之间关联性较弱，</w:t>
            </w:r>
            <w:r>
              <w:rPr>
                <w:color w:val="000000"/>
                <w:sz w:val="21"/>
              </w:rPr>
              <w:t>数据格式复杂多样，不符合数据银行现行的数据标准规范，需</w:t>
            </w:r>
            <w:r>
              <w:rPr>
                <w:color w:val="000000"/>
                <w:sz w:val="21"/>
              </w:rPr>
              <w:t>进行数据格式处理、清洗、转换、合并、审核等数据处理</w:t>
            </w:r>
            <w:r>
              <w:rPr>
                <w:color w:val="000000"/>
                <w:sz w:val="21"/>
              </w:rPr>
              <w:t>工作</w:t>
            </w:r>
            <w:r>
              <w:rPr>
                <w:color w:val="000000"/>
                <w:sz w:val="21"/>
              </w:rPr>
              <w:t>，</w:t>
            </w:r>
            <w:r>
              <w:rPr>
                <w:color w:val="000000"/>
                <w:sz w:val="21"/>
              </w:rPr>
              <w:t>使数据符合入库标准后</w:t>
            </w:r>
            <w:r>
              <w:rPr>
                <w:color w:val="000000"/>
                <w:sz w:val="21"/>
              </w:rPr>
              <w:t>存入数据银行，并提供数据展示和利用服务。对数据入库的审核比对服务，对省系统数据实现人工审核比对和自动比对服务，实现数据质量监控。</w:t>
            </w:r>
            <w:r>
              <w:rPr>
                <w:color w:val="000000"/>
                <w:sz w:val="21"/>
              </w:rPr>
              <w:t>包括对教师信息数据库、中小学学籍数据库、</w:t>
            </w:r>
            <w:r>
              <w:rPr>
                <w:color w:val="000000"/>
                <w:sz w:val="21"/>
              </w:rPr>
              <w:t>职校学生数据库、学前教育数据库、</w:t>
            </w:r>
            <w:r>
              <w:rPr>
                <w:color w:val="000000"/>
                <w:sz w:val="21"/>
              </w:rPr>
              <w:t>教育机构</w:t>
            </w:r>
            <w:r>
              <w:rPr>
                <w:color w:val="000000"/>
                <w:sz w:val="21"/>
              </w:rPr>
              <w:t>信息</w:t>
            </w:r>
            <w:r>
              <w:rPr>
                <w:color w:val="000000"/>
                <w:sz w:val="21"/>
              </w:rPr>
              <w:t>数据库</w:t>
            </w:r>
            <w:r>
              <w:rPr>
                <w:color w:val="000000"/>
                <w:sz w:val="21"/>
              </w:rPr>
              <w:t>等的数据整合关联和存入数据银行的服务。</w:t>
            </w:r>
          </w:p>
          <w:p>
            <w:pPr>
              <w:ind w:firstLine="420"/>
            </w:pPr>
            <w:r>
              <w:rPr>
                <w:color w:val="000000"/>
                <w:sz w:val="21"/>
              </w:rPr>
              <w:t>1)</w:t>
            </w:r>
            <w:r>
              <w:rPr>
                <w:color w:val="000000"/>
                <w:sz w:val="21"/>
              </w:rPr>
              <w:t>数据清洗。实现无效值、缺失值、重复值等数据清洗工作。</w:t>
            </w:r>
          </w:p>
          <w:p>
            <w:pPr>
              <w:ind w:firstLine="420"/>
            </w:pPr>
            <w:r>
              <w:rPr>
                <w:color w:val="000000"/>
                <w:sz w:val="21"/>
              </w:rPr>
              <w:t>2)</w:t>
            </w:r>
            <w:r>
              <w:rPr>
                <w:color w:val="000000"/>
                <w:sz w:val="21"/>
              </w:rPr>
              <w:t>数据转换。实现编码、字典表、数据格式、内容、标准编码等数据转换。</w:t>
            </w:r>
          </w:p>
          <w:p>
            <w:pPr>
              <w:ind w:firstLine="420"/>
            </w:pPr>
            <w:r>
              <w:rPr>
                <w:color w:val="000000"/>
                <w:sz w:val="21"/>
              </w:rPr>
              <w:t>3)</w:t>
            </w:r>
            <w:r>
              <w:rPr>
                <w:color w:val="000000"/>
                <w:sz w:val="21"/>
              </w:rPr>
              <w:t>数据合并。包括数据表连接、内容合并、字段计算等功能。</w:t>
            </w:r>
          </w:p>
          <w:p>
            <w:pPr>
              <w:ind w:firstLine="420"/>
            </w:pPr>
            <w:r>
              <w:rPr>
                <w:color w:val="000000"/>
                <w:sz w:val="21"/>
              </w:rPr>
              <w:t>4)</w:t>
            </w:r>
            <w:r>
              <w:rPr>
                <w:color w:val="000000"/>
                <w:sz w:val="21"/>
              </w:rPr>
              <w:t>数据审核。包括数据冗余检查、数据一致性检查、数据关系审核等功能。对数据入库的审核比对服务，对省系统数据实现学校人工审核比对和自动比对服务，实现数据质量监控。</w:t>
            </w:r>
          </w:p>
          <w:p>
            <w:pPr>
              <w:ind w:firstLine="420"/>
            </w:pPr>
            <w:r>
              <w:rPr>
                <w:color w:val="000000"/>
                <w:sz w:val="21"/>
              </w:rPr>
              <w:t>主要采用的信息化手段包括：</w:t>
            </w:r>
          </w:p>
          <w:p>
            <w:pPr>
              <w:ind w:firstLine="420"/>
            </w:pPr>
            <w:r>
              <w:rPr>
                <w:color w:val="000000"/>
                <w:sz w:val="21"/>
              </w:rPr>
              <w:t>1）智能过滤。对采集的数据内容进行自动过滤。</w:t>
            </w:r>
          </w:p>
          <w:p>
            <w:pPr>
              <w:ind w:firstLine="420"/>
            </w:pPr>
            <w:r>
              <w:rPr>
                <w:color w:val="000000"/>
                <w:sz w:val="21"/>
              </w:rPr>
              <w:t>2）自动分类。对采集的数据内容根据统一标准借助规则分类技术进行自动分类。</w:t>
            </w:r>
          </w:p>
          <w:p>
            <w:pPr>
              <w:ind w:firstLine="420"/>
            </w:pPr>
            <w:r>
              <w:rPr>
                <w:color w:val="000000"/>
                <w:sz w:val="21"/>
              </w:rPr>
              <w:t>3）自动排重。对采集的数据内容，通过信息检索技术，根据相似性检索结果将其与以往数据进行自动排重，避免重复采集。</w:t>
            </w:r>
          </w:p>
          <w:p>
            <w:pPr>
              <w:ind w:firstLine="462"/>
            </w:pPr>
            <w:r>
              <w:rPr>
                <w:b/>
                <w:color w:val="000000"/>
                <w:sz w:val="21"/>
              </w:rPr>
              <w:t>2</w:t>
            </w:r>
            <w:r>
              <w:rPr>
                <w:b/>
                <w:color w:val="000000"/>
                <w:sz w:val="21"/>
              </w:rPr>
              <w:t>.3</w:t>
            </w:r>
            <w:r>
              <w:rPr>
                <w:b/>
                <w:color w:val="000000"/>
                <w:sz w:val="21"/>
              </w:rPr>
              <w:t>佛山市教育数据银行数据查询和应用服务</w:t>
            </w:r>
          </w:p>
          <w:p>
            <w:pPr>
              <w:ind w:firstLine="420"/>
              <w:jc w:val="both"/>
            </w:pPr>
            <w:r>
              <w:rPr>
                <w:color w:val="000000"/>
                <w:sz w:val="21"/>
              </w:rPr>
              <w:t>对数据银行收集的师生数据、视频材料、教学资源等，提供数据查询、按要求进行统计分析、生成报表、导出导入数据表等服务。</w:t>
            </w:r>
          </w:p>
          <w:p>
            <w:pPr>
              <w:ind w:firstLine="420"/>
              <w:jc w:val="left"/>
            </w:pPr>
            <w:r>
              <w:rPr>
                <w:color w:val="000000"/>
                <w:sz w:val="21"/>
              </w:rPr>
              <w:t>数据银行数据查询是</w:t>
            </w:r>
            <w:r>
              <w:rPr>
                <w:color w:val="000000"/>
                <w:sz w:val="21"/>
              </w:rPr>
              <w:t>业务部门</w:t>
            </w:r>
            <w:r>
              <w:rPr>
                <w:color w:val="000000"/>
                <w:sz w:val="21"/>
              </w:rPr>
              <w:t>和信息部门的一项重要工作，外包服务团队应按照以下要求进行处理：</w:t>
            </w:r>
          </w:p>
          <w:p>
            <w:pPr>
              <w:ind w:firstLine="420"/>
              <w:jc w:val="left"/>
            </w:pPr>
            <w:r>
              <w:rPr>
                <w:color w:val="000000"/>
                <w:sz w:val="21"/>
              </w:rPr>
              <w:t>1)</w:t>
            </w:r>
            <w:r>
              <w:rPr>
                <w:color w:val="000000"/>
                <w:sz w:val="21"/>
              </w:rPr>
              <w:t>查询需求必须在信息部门指定服务平台（以下简称</w:t>
            </w:r>
            <w:r>
              <w:rPr>
                <w:color w:val="000000"/>
                <w:sz w:val="21"/>
              </w:rPr>
              <w:t>“服务平台”）提出，其他途径提出的查询需求一概不予受理；</w:t>
            </w:r>
          </w:p>
          <w:p>
            <w:pPr>
              <w:ind w:firstLine="420"/>
              <w:jc w:val="left"/>
            </w:pPr>
            <w:r>
              <w:rPr>
                <w:color w:val="000000"/>
                <w:sz w:val="21"/>
              </w:rPr>
              <w:t>2)</w:t>
            </w:r>
            <w:r>
              <w:rPr>
                <w:color w:val="000000"/>
                <w:sz w:val="21"/>
              </w:rPr>
              <w:t>查询的数据范围为数据银行保存的数据；</w:t>
            </w:r>
          </w:p>
          <w:p>
            <w:pPr>
              <w:ind w:firstLine="420"/>
              <w:jc w:val="left"/>
            </w:pPr>
            <w:r>
              <w:rPr>
                <w:color w:val="000000"/>
                <w:sz w:val="21"/>
              </w:rPr>
              <w:t>3)</w:t>
            </w:r>
            <w:r>
              <w:rPr>
                <w:color w:val="000000"/>
                <w:sz w:val="21"/>
              </w:rPr>
              <w:t>查询的结果中包含个人隐私或关键信息的，应向管理岗位人员报告后根据指示进行后续处理；</w:t>
            </w:r>
          </w:p>
          <w:p>
            <w:pPr>
              <w:ind w:firstLine="420"/>
              <w:jc w:val="left"/>
            </w:pPr>
            <w:r>
              <w:rPr>
                <w:color w:val="000000"/>
                <w:sz w:val="21"/>
              </w:rPr>
              <w:t>4)</w:t>
            </w:r>
            <w:r>
              <w:rPr>
                <w:color w:val="000000"/>
                <w:sz w:val="21"/>
              </w:rPr>
              <w:t>查询的结果应按照数据银行管理规定进行反馈，特殊用途的查询结果可通过其他途经反馈；</w:t>
            </w:r>
          </w:p>
          <w:p>
            <w:pPr>
              <w:ind w:firstLine="420"/>
              <w:jc w:val="left"/>
            </w:pPr>
            <w:r>
              <w:rPr>
                <w:color w:val="000000"/>
                <w:sz w:val="21"/>
              </w:rPr>
              <w:t>5)</w:t>
            </w:r>
            <w:r>
              <w:rPr>
                <w:color w:val="000000"/>
                <w:sz w:val="21"/>
              </w:rPr>
              <w:t>查询数据库的用户应使用信息部门指定的查询用户；</w:t>
            </w:r>
          </w:p>
          <w:p>
            <w:pPr>
              <w:ind w:firstLine="420"/>
              <w:jc w:val="left"/>
            </w:pPr>
            <w:r>
              <w:rPr>
                <w:color w:val="000000"/>
                <w:sz w:val="21"/>
              </w:rPr>
              <w:t>6)</w:t>
            </w:r>
            <w:r>
              <w:rPr>
                <w:color w:val="000000"/>
                <w:sz w:val="21"/>
              </w:rPr>
              <w:t>外包服务团队应定期对查询需求和方法进行整理，将高发和具有普遍推广意义的查询向信息部门提出开发功能建议。</w:t>
            </w:r>
          </w:p>
          <w:p>
            <w:pPr>
              <w:ind w:firstLine="420"/>
              <w:jc w:val="left"/>
            </w:pPr>
            <w:r>
              <w:rPr>
                <w:color w:val="000000"/>
                <w:sz w:val="21"/>
              </w:rPr>
              <w:t>业务规则变更、系统缺陷、操作员误操作等原因会导致对信息系统数据进行调整，此类外包服务需求是一类刚性需求，如不进行处理甚至会引起业务阻断。故鉴于数据调整的重要性和严肃性，外包服务团队必须严格按照以下流程进行处理：</w:t>
            </w:r>
          </w:p>
          <w:p>
            <w:r>
              <w:rPr>
                <w:color w:val="000000"/>
                <w:sz w:val="21"/>
              </w:rPr>
              <w:t>1)</w:t>
            </w:r>
            <w:r>
              <w:rPr>
                <w:color w:val="000000"/>
                <w:sz w:val="21"/>
              </w:rPr>
              <w:t>数据调整需求必须书面提出并通过审批后执行，其他途径提出的需求一概不予受理；</w:t>
            </w:r>
          </w:p>
          <w:p>
            <w:r>
              <w:rPr>
                <w:color w:val="000000"/>
                <w:sz w:val="21"/>
              </w:rPr>
              <w:t>2)</w:t>
            </w:r>
            <w:r>
              <w:rPr>
                <w:color w:val="000000"/>
                <w:sz w:val="21"/>
              </w:rPr>
              <w:t>对于重大调整，外包服务团队必须出具数据调整方案，并经信息部门技术专家评审通过后才可后续实施；</w:t>
            </w:r>
          </w:p>
          <w:p>
            <w:r>
              <w:rPr>
                <w:color w:val="000000"/>
                <w:sz w:val="21"/>
              </w:rPr>
              <w:t>3)</w:t>
            </w:r>
            <w:r>
              <w:rPr>
                <w:color w:val="000000"/>
                <w:sz w:val="21"/>
              </w:rPr>
              <w:t>外包服务团队应编撰数据调整</w:t>
            </w:r>
            <w:r>
              <w:rPr>
                <w:color w:val="000000"/>
                <w:sz w:val="21"/>
              </w:rPr>
              <w:t>SQL 脚本，并根据数据所属数据库的辖权转交给信息部门相关人员执行；</w:t>
            </w:r>
          </w:p>
          <w:p>
            <w:r>
              <w:rPr>
                <w:color w:val="000000"/>
                <w:sz w:val="21"/>
              </w:rPr>
              <w:t>4)</w:t>
            </w:r>
            <w:r>
              <w:rPr>
                <w:color w:val="000000"/>
                <w:sz w:val="21"/>
              </w:rPr>
              <w:t>对于有参考和保存价值的方案和</w:t>
            </w:r>
            <w:r>
              <w:rPr>
                <w:color w:val="000000"/>
                <w:sz w:val="21"/>
              </w:rPr>
              <w:t>SQL 脚本，应进行梳理和归档。</w:t>
            </w:r>
          </w:p>
          <w:p>
            <w:r>
              <w:rPr>
                <w:color w:val="000000"/>
                <w:sz w:val="21"/>
              </w:rPr>
              <w:t>主要采用</w:t>
            </w:r>
            <w:r>
              <w:rPr>
                <w:color w:val="000000"/>
                <w:sz w:val="21"/>
              </w:rPr>
              <w:t>的信息化</w:t>
            </w:r>
            <w:r>
              <w:rPr>
                <w:color w:val="000000"/>
                <w:sz w:val="21"/>
              </w:rPr>
              <w:t>手段包括</w:t>
            </w:r>
            <w:r>
              <w:rPr>
                <w:color w:val="000000"/>
                <w:sz w:val="21"/>
              </w:rPr>
              <w:t>：</w:t>
            </w:r>
          </w:p>
          <w:p>
            <w:r>
              <w:rPr>
                <w:sz w:val="21"/>
              </w:rPr>
              <w:t>1)</w:t>
            </w:r>
            <w:r>
              <w:rPr>
                <w:sz w:val="21"/>
              </w:rPr>
              <w:t>统计分析工具</w:t>
            </w:r>
          </w:p>
          <w:p>
            <w:r>
              <w:rPr>
                <w:sz w:val="21"/>
              </w:rPr>
              <w:t>可按需求对数据银行数据的各类统计分析进行订制的软件工具。</w:t>
            </w:r>
          </w:p>
          <w:p>
            <w:r>
              <w:rPr>
                <w:sz w:val="21"/>
              </w:rPr>
              <w:t>2)</w:t>
            </w:r>
            <w:r>
              <w:rPr>
                <w:sz w:val="21"/>
              </w:rPr>
              <w:t>报表展示工具</w:t>
            </w:r>
          </w:p>
          <w:p>
            <w:r>
              <w:rPr>
                <w:sz w:val="21"/>
              </w:rPr>
              <w:t>可按需求对数据银行数据的报表展示，包括直方图、饼图、趋势图等各类展示的报表工具。</w:t>
            </w:r>
          </w:p>
          <w:p>
            <w:r>
              <w:rPr>
                <w:sz w:val="21"/>
              </w:rPr>
              <w:t>3)</w:t>
            </w:r>
            <w:r>
              <w:rPr>
                <w:sz w:val="21"/>
              </w:rPr>
              <w:t>资源目录</w:t>
            </w:r>
          </w:p>
          <w:p>
            <w:r>
              <w:rPr>
                <w:sz w:val="21"/>
              </w:rPr>
              <w:t>提供对数据的基本管理能力，包括基于</w:t>
            </w:r>
            <w:r>
              <w:rPr>
                <w:sz w:val="21"/>
              </w:rPr>
              <w:t>WEB的多用户权限的数据浏览；元数据管理：数据表的名称、结构，字段描述信息；数据基本统计：数据表中的记录数，最后更新时间等。</w:t>
            </w:r>
          </w:p>
          <w:p>
            <w:r>
              <w:rPr>
                <w:sz w:val="21"/>
              </w:rPr>
              <w:t>4)</w:t>
            </w:r>
            <w:r>
              <w:rPr>
                <w:sz w:val="21"/>
              </w:rPr>
              <w:t>数据订阅</w:t>
            </w:r>
          </w:p>
          <w:p>
            <w:r>
              <w:rPr>
                <w:sz w:val="21"/>
              </w:rPr>
              <w:t>提供数据服务订阅，各类历史数据和即时数据的自动发送等功能。</w:t>
            </w:r>
          </w:p>
          <w:p>
            <w:pPr>
              <w:ind w:firstLine="462"/>
            </w:pPr>
            <w:r>
              <w:rPr>
                <w:b/>
                <w:color w:val="000000"/>
                <w:sz w:val="21"/>
              </w:rPr>
              <w:t>2</w:t>
            </w:r>
            <w:r>
              <w:rPr>
                <w:b/>
                <w:color w:val="000000"/>
                <w:sz w:val="21"/>
              </w:rPr>
              <w:t>.4</w:t>
            </w:r>
            <w:r>
              <w:rPr>
                <w:b/>
                <w:color w:val="000000"/>
                <w:sz w:val="21"/>
              </w:rPr>
              <w:t>佛山市教育数据银行数据存入服务</w:t>
            </w:r>
          </w:p>
          <w:p>
            <w:pPr>
              <w:ind w:firstLine="420"/>
              <w:jc w:val="both"/>
            </w:pPr>
            <w:r>
              <w:rPr>
                <w:color w:val="000000"/>
                <w:sz w:val="21"/>
              </w:rPr>
              <w:t>随着数据银行的发展，为达到业务功能上的融合、数据上的共建共用，各个应用系统之间的数据需要存入数据银行，新建系统的数据存入主要工作包括：需求调研、存储设计、后台逻辑编码、测试、部署等。</w:t>
            </w:r>
          </w:p>
          <w:p>
            <w:pPr>
              <w:ind w:firstLine="462"/>
            </w:pPr>
            <w:r>
              <w:rPr>
                <w:b/>
                <w:color w:val="000000"/>
                <w:sz w:val="21"/>
              </w:rPr>
              <w:t>2</w:t>
            </w:r>
            <w:r>
              <w:rPr>
                <w:b/>
                <w:color w:val="000000"/>
                <w:sz w:val="21"/>
              </w:rPr>
              <w:t>.5</w:t>
            </w:r>
            <w:r>
              <w:rPr>
                <w:b/>
                <w:color w:val="000000"/>
                <w:sz w:val="21"/>
              </w:rPr>
              <w:t>佛山市教育数据银行数据容灾备份服务</w:t>
            </w:r>
          </w:p>
          <w:p>
            <w:pPr>
              <w:ind w:firstLine="460"/>
            </w:pPr>
            <w:r>
              <w:rPr>
                <w:color w:val="000000"/>
                <w:sz w:val="21"/>
              </w:rPr>
              <w:t>1)</w:t>
            </w:r>
            <w:r>
              <w:rPr>
                <w:color w:val="000000"/>
                <w:sz w:val="21"/>
              </w:rPr>
              <w:t>定期进行系统数据备份；</w:t>
            </w:r>
          </w:p>
          <w:p>
            <w:pPr>
              <w:ind w:firstLine="460"/>
            </w:pPr>
            <w:r>
              <w:rPr>
                <w:color w:val="000000"/>
                <w:sz w:val="21"/>
              </w:rPr>
              <w:t>2)</w:t>
            </w:r>
            <w:r>
              <w:rPr>
                <w:color w:val="000000"/>
                <w:sz w:val="21"/>
              </w:rPr>
              <w:t>定期进行系统清理；</w:t>
            </w:r>
          </w:p>
          <w:p>
            <w:pPr>
              <w:ind w:firstLine="460"/>
            </w:pPr>
            <w:r>
              <w:rPr>
                <w:color w:val="000000"/>
                <w:sz w:val="21"/>
              </w:rPr>
              <w:t>3)</w:t>
            </w:r>
            <w:r>
              <w:rPr>
                <w:color w:val="000000"/>
                <w:sz w:val="21"/>
              </w:rPr>
              <w:t>出现故障时迅速恢复系统使用。</w:t>
            </w:r>
          </w:p>
          <w:p>
            <w:pPr>
              <w:ind w:firstLine="462"/>
            </w:pPr>
            <w:r>
              <w:rPr>
                <w:b/>
                <w:color w:val="000000"/>
                <w:sz w:val="21"/>
              </w:rPr>
              <w:t>2</w:t>
            </w:r>
            <w:r>
              <w:rPr>
                <w:b/>
                <w:color w:val="000000"/>
                <w:sz w:val="21"/>
              </w:rPr>
              <w:t>.6</w:t>
            </w:r>
            <w:r>
              <w:rPr>
                <w:b/>
                <w:color w:val="000000"/>
                <w:sz w:val="21"/>
              </w:rPr>
              <w:t>佛山市教育数据银行特殊时期数据保障服务</w:t>
            </w:r>
          </w:p>
          <w:p>
            <w:pPr>
              <w:ind w:firstLine="420"/>
              <w:jc w:val="both"/>
            </w:pPr>
            <w:r>
              <w:rPr>
                <w:color w:val="000000"/>
                <w:sz w:val="21"/>
              </w:rPr>
              <w:t>根据需求，提供在重大活动、重要时点、系统关键变更等关键时期的</w:t>
            </w:r>
            <w:r>
              <w:rPr>
                <w:color w:val="000000"/>
                <w:sz w:val="21"/>
              </w:rPr>
              <w:t>7*24小时保障服务。服务期内，服务提供商必须派1名运维人员提供驻场服务或2名运维人员能随时在半小时之内到达佛山市教育局。</w:t>
            </w:r>
          </w:p>
          <w:p>
            <w:r>
              <w:rPr>
                <w:b/>
                <w:color w:val="000000"/>
                <w:sz w:val="21"/>
              </w:rPr>
              <w:t>3、人员驻场要求</w:t>
            </w:r>
          </w:p>
          <w:p>
            <w:pPr>
              <w:jc w:val="both"/>
            </w:pPr>
            <w:r>
              <w:rPr>
                <w:sz w:val="21"/>
              </w:rPr>
              <w:t>服务期内，服务提供商必须派</w:t>
            </w:r>
            <w:r>
              <w:rPr>
                <w:sz w:val="21"/>
              </w:rPr>
              <w:t>1名工程师提供驻场服务或2名工程师能随时在半小时之内到达佛山市教育局。</w:t>
            </w:r>
          </w:p>
          <w:p>
            <w:pPr>
              <w:jc w:val="both"/>
            </w:pPr>
            <w:r>
              <w:rPr/>
              <w:t xml:space="preserve"> </w:t>
            </w:r>
          </w:p>
          <w:p>
            <w:pPr>
              <w:jc w:val="both"/>
            </w:pPr>
            <w:r>
              <w:rPr/>
              <w:t xml:space="preserve"> </w:t>
            </w:r>
          </w:p>
          <w:p>
            <w:pPr>
              <w:jc w:val="both"/>
            </w:pPr>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供应商须知</w:t>
      </w:r>
    </w:p>
    <w:p>
      <w:pPr>
        <w:ind w:firstLine="480"/>
      </w:pPr>
      <w:r>
        <w:rPr/>
        <w:t>供应商必须认真阅读磋商文件中所有的事项、格式、条款和采购需求等。供应商没有按照磋商文件要求提交全部资料，或者响应文件没有对磋商文件在各方面都做出实质性响应的可能导致其响应无效或被拒绝。</w:t>
      </w:r>
    </w:p>
    <w:p>
      <w:pPr>
        <w:ind w:firstLine="480"/>
      </w:pPr>
      <w:r>
        <w:rPr/>
        <w:t>请注意：供应商需在响应文件截止时间前，将加密响应文件上传至云平台项目采购系统中并取得回执，逾期上传或错误方式投递送达将导致响应无效。</w:t>
      </w:r>
    </w:p>
    <w:p>
      <w:r>
        <w:rPr>
          <w:b/>
          <w:sz w:val="24"/>
        </w:rPr>
        <w:t>一、名词解释</w:t>
      </w:r>
    </w:p>
    <w:p>
      <w:pPr>
        <w:ind w:firstLine="480"/>
      </w:pPr>
      <w:r>
        <w:rPr/>
        <w:t>1.采购代理机构：本项目是指广东省机电设备招标有限公司佛山分公司，负责整个采购活动的组织，依法负责编制和发布磋商文件，对磋商文件拥有最终的解释权，不以任何身份出任磋商小组成员。</w:t>
      </w:r>
    </w:p>
    <w:p>
      <w:pPr>
        <w:ind w:firstLine="480"/>
      </w:pPr>
      <w:r>
        <w:rPr/>
        <w:t>2.采购人：本项目是指</w:t>
      </w:r>
      <w:r>
        <w:rPr/>
        <w:t>佛山市教育局</w:t>
      </w:r>
      <w:r>
        <w:rPr/>
        <w:t>，是采购活动当事人之一，负责项目的整体规划、技术方案可行性设计论证与实施，作为合同采购方（用户）的主体承担质疑回复、履行合同、验收与评价等义务。</w:t>
      </w:r>
    </w:p>
    <w:p>
      <w:pPr>
        <w:ind w:firstLine="480"/>
      </w:pPr>
      <w:r>
        <w:rPr/>
        <w:t>3.供应商：是指在云平台项目采购系统完成本项目响应登记并提交电子响应文件的供应商。</w:t>
      </w:r>
    </w:p>
    <w:p>
      <w:pPr>
        <w:ind w:firstLine="480"/>
      </w:pPr>
      <w:r>
        <w:rPr/>
        <w:t>4.“磋商小组”是指根据《中华人民共和国政府采购法》等法律法规规定，由采购人代表和有关专家组成以确定成交供应商或者推荐成交候选供应商的临时组织。</w:t>
      </w:r>
    </w:p>
    <w:p>
      <w:pPr>
        <w:ind w:firstLine="480"/>
      </w:pPr>
      <w:r>
        <w:rPr/>
        <w:t>5.“成交供应商”是指经磋商小组评审确定的对磋商文件做出实质性响应，经采购人按照规定在磋商小组推荐的成交候选供应商中确定的或磋商小组受采购人委托直接确认的供应商。</w:t>
      </w:r>
    </w:p>
    <w:p>
      <w:pPr>
        <w:ind w:firstLine="480"/>
      </w:pPr>
      <w:r>
        <w:rPr/>
        <w:t>6.磋商文件：是指包括磋商公告和磋商文件及其补充、变更和澄清等一系列文件。</w:t>
      </w:r>
    </w:p>
    <w:p>
      <w:pPr>
        <w:ind w:firstLine="480"/>
      </w:pPr>
      <w:r>
        <w:rPr/>
        <w:t>7.电子响应文件：是指使用云平台提供的投标客户端制作加密并上传到系统的响应文件。（投标客户端制作响应文件时，生成的后缀为“.标书”的文件）</w:t>
      </w:r>
    </w:p>
    <w:p>
      <w:pPr>
        <w:ind w:firstLine="480"/>
      </w:pPr>
      <w:r>
        <w:rPr/>
        <w:t>8.备用电子响应文件：是指使用云平台提供的投标客户端制作电子响应文件时，同时生成的同一版本的备用响应文件。（投标客户端制作响应文件时，生成的后缀为“.备用标书”的文件）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本表与磋商文件对应章节的内容若不一致，以本表为准。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pPr>
              <w:jc w:val="center"/>
            </w:pPr>
            <w:r>
              <w:rPr/>
              <w:t>1</w:t>
            </w:r>
          </w:p>
        </w:tc>
        <w:tc>
          <w:tcPr>
            <w:tcW w:type="dxa" w:w="2252"/>
          </w:tcPr>
          <w:p>
            <w:r>
              <w:rPr/>
              <w:t>采购包情况</w:t>
            </w:r>
          </w:p>
        </w:tc>
        <w:tc>
          <w:tcPr>
            <w:tcW w:type="dxa" w:w="5004"/>
          </w:tcPr>
          <w:p>
            <w:r>
              <w:rPr/>
              <w:t>本项目共</w:t>
            </w:r>
            <w:r>
              <w:rPr/>
              <w:t>1</w:t>
            </w:r>
            <w:r>
              <w:rPr/>
              <w:t>个采购包</w:t>
            </w:r>
          </w:p>
        </w:tc>
      </w:tr>
      <w:tr>
        <w:tc>
          <w:tcPr>
            <w:tcW w:type="dxa" w:w="1051"/>
          </w:tcPr>
          <w:p>
            <w:pPr>
              <w:jc w:val="center"/>
            </w:pPr>
            <w:r>
              <w:rPr/>
              <w:t>2</w:t>
            </w:r>
          </w:p>
        </w:tc>
        <w:tc>
          <w:tcPr>
            <w:tcW w:type="dxa" w:w="2252"/>
          </w:tcPr>
          <w:p>
            <w:r>
              <w:rPr/>
              <w:t>开启方式</w:t>
            </w:r>
          </w:p>
        </w:tc>
        <w:tc>
          <w:tcPr>
            <w:tcW w:type="dxa" w:w="5004"/>
          </w:tcPr>
          <w:p>
            <w:r>
              <w:rPr/>
              <w:t>远程电子开标</w:t>
            </w:r>
          </w:p>
        </w:tc>
      </w:tr>
      <w:tr>
        <w:tc>
          <w:tcPr>
            <w:tcW w:type="dxa" w:w="1051"/>
          </w:tcPr>
          <w:p>
            <w:pPr>
              <w:jc w:val="center"/>
            </w:pPr>
            <w:r>
              <w:rPr/>
              <w:t>3</w:t>
            </w:r>
          </w:p>
        </w:tc>
        <w:tc>
          <w:tcPr>
            <w:tcW w:type="dxa" w:w="2252"/>
          </w:tcPr>
          <w:p>
            <w:r>
              <w:rPr/>
              <w:t>评审方式</w:t>
            </w:r>
          </w:p>
        </w:tc>
        <w:tc>
          <w:tcPr>
            <w:tcW w:type="dxa" w:w="5004"/>
          </w:tcPr>
          <w:p>
            <w:r>
              <w:rPr/>
              <w:t>现场电子评标</w:t>
            </w:r>
            <w:r>
              <w:rPr/>
              <w:t>（供应商应当审慎标记各评审项的应答部分，标记内容清晰且完整，否则将自行承担不利后果）</w:t>
            </w:r>
          </w:p>
        </w:tc>
      </w:tr>
      <w:tr>
        <w:tc>
          <w:tcPr>
            <w:tcW w:type="dxa" w:w="1051"/>
          </w:tcPr>
          <w:p>
            <w:pPr>
              <w:jc w:val="center"/>
            </w:pPr>
            <w:r>
              <w:rPr/>
              <w:t>4</w:t>
            </w:r>
          </w:p>
        </w:tc>
        <w:tc>
          <w:tcPr>
            <w:tcW w:type="dxa" w:w="2252"/>
          </w:tcPr>
          <w:p>
            <w:r>
              <w:rPr/>
              <w:t>评审办法</w:t>
            </w:r>
          </w:p>
        </w:tc>
        <w:tc>
          <w:tcPr>
            <w:tcW w:type="dxa" w:w="5004"/>
          </w:tcPr>
          <w:p>
            <w:r>
              <w:rPr/>
              <w:t>采购包1：综合评分法</w:t>
            </w:r>
          </w:p>
        </w:tc>
      </w:tr>
      <w:tr>
        <w:tc>
          <w:tcPr>
            <w:tcW w:type="dxa" w:w="1051"/>
          </w:tcPr>
          <w:p>
            <w:pPr>
              <w:jc w:val="center"/>
            </w:pPr>
            <w:r>
              <w:rPr/>
              <w:t>5</w:t>
            </w:r>
          </w:p>
        </w:tc>
        <w:tc>
          <w:tcPr>
            <w:tcW w:type="dxa" w:w="2252"/>
          </w:tcPr>
          <w:p>
            <w:r>
              <w:rPr/>
              <w:t>报价形式</w:t>
            </w:r>
          </w:p>
        </w:tc>
        <w:tc>
          <w:tcPr>
            <w:tcW w:type="dxa" w:w="5004"/>
          </w:tcPr>
          <w:p/>
          <w:p>
            <w:r>
              <w:rPr/>
              <w:t>采购包1：总价</w:t>
            </w:r>
          </w:p>
        </w:tc>
      </w:tr>
      <w:tr>
        <w:tc>
          <w:tcPr>
            <w:tcW w:type="dxa" w:w="1051"/>
          </w:tcPr>
          <w:p>
            <w:pPr>
              <w:jc w:val="center"/>
            </w:pPr>
            <w:r>
              <w:rPr/>
              <w:t>6</w:t>
            </w:r>
          </w:p>
        </w:tc>
        <w:tc>
          <w:tcPr>
            <w:tcW w:type="dxa" w:w="2252"/>
          </w:tcPr>
          <w:p>
            <w:r>
              <w:rPr/>
              <w:t>报价要求</w:t>
            </w:r>
          </w:p>
        </w:tc>
        <w:tc>
          <w:tcPr>
            <w:tcW w:type="dxa" w:w="5004"/>
          </w:tcPr>
          <w:p>
            <w:r>
              <w:rPr/>
              <w:t>各采购包报价不超过预算总价</w:t>
            </w:r>
          </w:p>
        </w:tc>
      </w:tr>
      <w:tr>
        <w:tc>
          <w:tcPr>
            <w:tcW w:type="dxa" w:w="1051"/>
          </w:tcPr>
          <w:p>
            <w:pPr>
              <w:jc w:val="center"/>
            </w:pPr>
            <w:r>
              <w:rPr/>
              <w:t>7</w:t>
            </w:r>
          </w:p>
        </w:tc>
        <w:tc>
          <w:tcPr>
            <w:tcW w:type="dxa" w:w="2252"/>
          </w:tcPr>
          <w:p>
            <w:r>
              <w:rPr/>
              <w:t>现场踏勘</w:t>
            </w:r>
          </w:p>
        </w:tc>
        <w:tc>
          <w:tcPr>
            <w:tcW w:type="dxa" w:w="5004"/>
          </w:tcPr>
          <w:p/>
          <w:p>
            <w:r>
              <w:rPr/>
              <w:t>否</w:t>
            </w:r>
          </w:p>
        </w:tc>
      </w:tr>
      <w:tr>
        <w:tc>
          <w:tcPr>
            <w:tcW w:type="dxa" w:w="1051"/>
          </w:tcPr>
          <w:p>
            <w:pPr>
              <w:jc w:val="center"/>
            </w:pPr>
            <w:r>
              <w:rPr/>
              <w:t>8</w:t>
            </w:r>
          </w:p>
        </w:tc>
        <w:tc>
          <w:tcPr>
            <w:tcW w:type="dxa" w:w="2252"/>
          </w:tcPr>
          <w:p>
            <w:r>
              <w:rPr/>
              <w:t>响应有效期</w:t>
            </w:r>
          </w:p>
        </w:tc>
        <w:tc>
          <w:tcPr>
            <w:tcW w:type="dxa" w:w="5004"/>
          </w:tcPr>
          <w:p>
            <w:r>
              <w:rPr/>
              <w:t>从提交投标（响应）文件的截止之日起90日历天</w:t>
            </w:r>
          </w:p>
        </w:tc>
      </w:tr>
      <w:tr>
        <w:tc>
          <w:tcPr>
            <w:tcW w:type="dxa" w:w="1051"/>
          </w:tcPr>
          <w:p>
            <w:pPr>
              <w:jc w:val="center"/>
            </w:pPr>
            <w:r>
              <w:rPr/>
              <w:t>9</w:t>
            </w:r>
          </w:p>
        </w:tc>
        <w:tc>
          <w:tcPr>
            <w:tcW w:type="dxa" w:w="2252"/>
          </w:tcPr>
          <w:p>
            <w:r>
              <w:rPr/>
              <w:t>响应保证金</w:t>
            </w:r>
          </w:p>
        </w:tc>
        <w:tc>
          <w:tcPr>
            <w:tcW w:type="dxa" w:w="5004"/>
          </w:tcPr>
          <w:p/>
          <w:p>
            <w:r>
              <w:rPr/>
              <w:t>采购包1：保证金人民币：0.00元整。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r>
              <w:rPr/>
              <w:t>响应保证金有效期∶与响应有效期一致。</w:t>
            </w:r>
          </w:p>
          <w:p>
            <w:r>
              <w:rPr/>
              <w:t>响应保函提交方式：供应商可通过"广东政府采购智慧云平台金融服务中心"(http://gdgpo.czt.gd.gov.cn/zcdservice/zcd/guangdong/)，申请办理响应担保函、保险（保证）凭证，成功出函的等效于现金缴纳响应保证金。</w:t>
            </w:r>
          </w:p>
        </w:tc>
      </w:tr>
      <w:tr>
        <w:tc>
          <w:tcPr>
            <w:tcW w:type="dxa" w:w="1051"/>
          </w:tcPr>
          <w:p>
            <w:pPr>
              <w:jc w:val="center"/>
            </w:pPr>
            <w:r>
              <w:rPr/>
              <w:t>10</w:t>
            </w:r>
          </w:p>
        </w:tc>
        <w:tc>
          <w:tcPr>
            <w:tcW w:type="dxa" w:w="2252"/>
          </w:tcPr>
          <w:p>
            <w:r>
              <w:rPr/>
              <w:t>成交候选供应商推荐家数</w:t>
            </w:r>
          </w:p>
        </w:tc>
        <w:tc>
          <w:tcPr>
            <w:tcW w:type="dxa" w:w="5004"/>
          </w:tcPr>
          <w:p>
            <w:r>
              <w:rPr/>
              <w:t>采购包1：</w:t>
            </w:r>
            <w:r>
              <w:rPr/>
              <w:t>3家</w:t>
            </w:r>
          </w:p>
        </w:tc>
      </w:tr>
      <w:tr>
        <w:tc>
          <w:tcPr>
            <w:tcW w:type="dxa" w:w="1051"/>
          </w:tcPr>
          <w:p>
            <w:pPr>
              <w:jc w:val="center"/>
            </w:pPr>
            <w:r>
              <w:rPr/>
              <w:t>11</w:t>
            </w:r>
          </w:p>
        </w:tc>
        <w:tc>
          <w:tcPr>
            <w:tcW w:type="dxa" w:w="2252"/>
          </w:tcPr>
          <w:p>
            <w:r>
              <w:rPr/>
              <w:t>成交供应商家数</w:t>
            </w:r>
          </w:p>
        </w:tc>
        <w:tc>
          <w:tcPr>
            <w:tcW w:type="dxa" w:w="5004"/>
          </w:tcPr>
          <w:p>
            <w:r>
              <w:rPr/>
              <w:t>采购包1：</w:t>
            </w:r>
            <w:r>
              <w:rPr/>
              <w:t>1家</w:t>
            </w:r>
          </w:p>
        </w:tc>
      </w:tr>
      <w:tr>
        <w:tc>
          <w:tcPr>
            <w:tcW w:type="dxa" w:w="1051"/>
          </w:tcPr>
          <w:p>
            <w:pPr>
              <w:jc w:val="center"/>
            </w:pPr>
            <w:r>
              <w:rPr/>
              <w:t>12</w:t>
            </w:r>
          </w:p>
        </w:tc>
        <w:tc>
          <w:tcPr>
            <w:tcW w:type="dxa" w:w="2252"/>
          </w:tcPr>
          <w:p>
            <w:r>
              <w:rPr/>
              <w:t>有效供应商家数</w:t>
            </w:r>
          </w:p>
        </w:tc>
        <w:tc>
          <w:tcPr>
            <w:tcW w:type="dxa" w:w="5004"/>
          </w:tcPr>
          <w:p/>
          <w:p>
            <w:pPr>
              <w:jc w:val="left"/>
            </w:pPr>
          </w:p>
          <w:p>
            <w:r>
              <w:rPr/>
              <w:t>采购包1：3家</w:t>
            </w:r>
          </w:p>
          <w:p/>
          <w:p>
            <w:r>
              <w:rPr/>
              <w:t>此人数约定了开启与评审过程中的最低有效供应商家数，当家数不足时项目将不得开启、不得评审或直接终止采购。</w:t>
            </w:r>
          </w:p>
        </w:tc>
      </w:tr>
      <w:tr>
        <w:tc>
          <w:tcPr>
            <w:tcW w:type="dxa" w:w="1051"/>
          </w:tcPr>
          <w:p>
            <w:pPr>
              <w:jc w:val="center"/>
            </w:pPr>
            <w:r>
              <w:rPr/>
              <w:t>13</w:t>
            </w:r>
          </w:p>
        </w:tc>
        <w:tc>
          <w:tcPr>
            <w:tcW w:type="dxa" w:w="2252"/>
          </w:tcPr>
          <w:p>
            <w:r>
              <w:rPr/>
              <w:t>项目兼投兼中（兼投不兼中）规则</w:t>
            </w:r>
          </w:p>
        </w:tc>
        <w:tc>
          <w:tcPr>
            <w:tcW w:type="dxa" w:w="5004"/>
          </w:tcPr>
          <w:p>
            <w:r>
              <w:rPr/>
              <w:t>无：-</w:t>
            </w:r>
          </w:p>
        </w:tc>
      </w:tr>
      <w:tr>
        <w:tc>
          <w:tcPr>
            <w:tcW w:type="dxa" w:w="1051"/>
          </w:tcPr>
          <w:p>
            <w:pPr>
              <w:jc w:val="center"/>
            </w:pPr>
            <w:r>
              <w:rPr/>
              <w:t>14</w:t>
            </w:r>
          </w:p>
        </w:tc>
        <w:tc>
          <w:tcPr>
            <w:tcW w:type="dxa" w:w="2252"/>
          </w:tcPr>
          <w:p>
            <w:r>
              <w:rPr/>
              <w:t>成交供应商确定方式</w:t>
            </w:r>
          </w:p>
        </w:tc>
        <w:tc>
          <w:tcPr>
            <w:tcW w:type="dxa" w:w="5004"/>
          </w:tcPr>
          <w:p>
            <w:r>
              <w:rPr/>
              <w:t>采购人按照评审报告中推荐的成交候选人确定中标（成交）人。</w:t>
            </w:r>
          </w:p>
        </w:tc>
      </w:tr>
      <w:tr>
        <w:tc>
          <w:tcPr>
            <w:tcW w:type="dxa" w:w="1051"/>
          </w:tcPr>
          <w:p>
            <w:pPr>
              <w:jc w:val="center"/>
            </w:pPr>
            <w:r>
              <w:rPr/>
              <w:t>15</w:t>
            </w:r>
          </w:p>
        </w:tc>
        <w:tc>
          <w:tcPr>
            <w:tcW w:type="dxa" w:w="2252"/>
          </w:tcPr>
          <w:p>
            <w:r>
              <w:rPr/>
              <w:t>代理服务费</w:t>
            </w:r>
          </w:p>
        </w:tc>
        <w:tc>
          <w:tcPr>
            <w:tcW w:type="dxa" w:w="5004"/>
          </w:tcPr>
          <w:p>
            <w:r>
              <w:rPr/>
              <w:t>收取。</w:t>
            </w:r>
          </w:p>
          <w:p>
            <w:r>
              <w:rPr/>
              <w:t>采购机构代理服务收费标准：依据国家计委颁布的《招标代理服务收费管理暂行办法》（计价格[2002]1980号）收费标准收取。计算方法：按差额定率累进法分段计算，计费基数按采购预算计算。</w:t>
            </w:r>
          </w:p>
        </w:tc>
      </w:tr>
      <w:tr>
        <w:tc>
          <w:tcPr>
            <w:tcW w:type="dxa" w:w="1051"/>
          </w:tcPr>
          <w:p>
            <w:pPr>
              <w:jc w:val="center"/>
            </w:pPr>
            <w:r>
              <w:rPr/>
              <w:t>16</w:t>
            </w:r>
          </w:p>
        </w:tc>
        <w:tc>
          <w:tcPr>
            <w:tcW w:type="dxa" w:w="2252"/>
          </w:tcPr>
          <w:p>
            <w:r>
              <w:rPr/>
              <w:t>代理服务费收取方式</w:t>
            </w:r>
          </w:p>
        </w:tc>
        <w:tc>
          <w:tcPr>
            <w:tcW w:type="dxa" w:w="5004"/>
          </w:tcPr>
          <w:p>
            <w:r>
              <w:rPr/>
              <w:t>向中标/成交供应商收取</w:t>
            </w:r>
          </w:p>
        </w:tc>
      </w:tr>
      <w:tr>
        <w:tc>
          <w:tcPr>
            <w:tcW w:type="dxa" w:w="1051"/>
          </w:tcPr>
          <w:p>
            <w:pPr>
              <w:jc w:val="center"/>
            </w:pPr>
            <w:r>
              <w:rPr/>
              <w:t>17</w:t>
            </w:r>
          </w:p>
        </w:tc>
        <w:tc>
          <w:tcPr>
            <w:tcW w:type="dxa" w:w="2252"/>
          </w:tcPr>
          <w:p>
            <w:r>
              <w:rPr/>
              <w:t>响应文件要求</w:t>
            </w:r>
          </w:p>
        </w:tc>
        <w:tc>
          <w:tcPr>
            <w:tcW w:type="dxa" w:w="5004"/>
          </w:tcPr>
          <w:p>
            <w:pPr>
              <w:ind w:firstLine="480"/>
            </w:pPr>
            <w:r>
              <w:rPr>
                <w:b/>
              </w:rPr>
              <w:t>一、电子响应文件（必须提供）：</w:t>
            </w:r>
          </w:p>
          <w:p>
            <w:pPr>
              <w:ind w:firstLine="480"/>
            </w:pPr>
            <w:r>
              <w:rPr/>
              <w:t>（1）加密的电子响应文件 1 份（需在递交响应文件截止时间前成功上传至云平台项目采购系统）。</w:t>
            </w:r>
          </w:p>
          <w:p>
            <w:pPr>
              <w:ind w:firstLine="480"/>
            </w:pPr>
            <w:r>
              <w:rPr/>
              <w:t>（2）非加密电子版文件 U 盘(或光盘)</w:t>
            </w:r>
            <w:r>
              <w:rPr/>
              <w:t>1</w:t>
            </w:r>
            <w:r>
              <w:rPr/>
              <w:t>份，加密的电子响应文件与非加密的电子响应文件必须完全一致。</w:t>
            </w:r>
          </w:p>
          <w:p>
            <w:pPr>
              <w:ind w:firstLine="480"/>
            </w:pPr>
            <w:r>
              <w:rPr>
                <w:b/>
              </w:rPr>
              <w:t>非加密电子版响应文件使用情形:</w:t>
            </w:r>
            <w:r>
              <w:rPr/>
              <w:t>当无法使用 CA 证书在云平台项目采购系统进行电子响应文件开标解密时，供应商须在代理机构指引下启用非加密电子版响应文件。</w:t>
            </w:r>
          </w:p>
          <w:p>
            <w:pPr>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jc w:val="center"/>
            </w:pPr>
            <w:r>
              <w:rPr/>
              <w:t>18</w:t>
            </w:r>
          </w:p>
        </w:tc>
        <w:tc>
          <w:tcPr>
            <w:tcW w:type="dxa" w:w="2252"/>
          </w:tcPr>
          <w:p>
            <w:r>
              <w:rPr/>
              <w:t>其他</w:t>
            </w:r>
          </w:p>
        </w:tc>
        <w:tc>
          <w:tcPr>
            <w:tcW w:type="dxa" w:w="5004"/>
          </w:tcPr>
          <w:p>
            <w:pPr>
              <w:jc w:val="left"/>
            </w:pPr>
            <w:r>
              <w:rPr/>
              <w:t>1、融资贷款，根据《佛山市政务服务数据管理局佛山市财政局关于进一步促进公平竞争优化政府采购营商环境的通知》（佛政数函[2021] 54号），参与政府采购的中小微企业可凭借中标（成交）通知书或政府采购合同，利用“省中小融”“粤信融”“中征应收账款融资服务平台”等平台向金融机构申请融资，获得无财产抵押贷款。</w:t>
            </w:r>
          </w:p>
          <w:p>
            <w:pPr>
              <w:jc w:val="left"/>
            </w:pPr>
            <w:r>
              <w:rPr/>
              <w:t>2、供应商注册，供应商须于投标截止时间前在采购代理机构网站广咨电子招投标交易平台（http://www.gzebid.cn/）上完成供应商注册登记，否则会影响公布成交公告、中标服务费（如有）的缴纳，由此产生的后果由供应商自行承担。具体操作方法请浏览“广咨电子招投标交易平台&gt;&gt;平台服务&gt;办事指南”，咨询电话：网站客服(QQ)：3151435402，热线电话：400-150-3001。</w:t>
            </w:r>
          </w:p>
          <w:p>
            <w:pPr>
              <w:jc w:val="left"/>
            </w:pPr>
            <w:r>
              <w:rPr/>
              <w:t>3、开启结果确认，若供应商在规定时间内对开启结果不进行签章、确认的，视同认可开启结果。</w:t>
            </w:r>
          </w:p>
        </w:tc>
      </w:tr>
      <w:tr>
        <w:tc>
          <w:tcPr>
            <w:tcW w:type="dxa" w:w="1051"/>
          </w:tcPr>
          <w:p>
            <w:pPr>
              <w:jc w:val="center"/>
            </w:pPr>
            <w:r>
              <w:rPr/>
              <w:t>19</w:t>
            </w:r>
          </w:p>
        </w:tc>
        <w:tc>
          <w:tcPr>
            <w:tcW w:type="dxa" w:w="2252"/>
          </w:tcPr>
          <w:p>
            <w:r>
              <w:rPr/>
              <w:t>开标解密时长</w:t>
            </w:r>
          </w:p>
        </w:tc>
        <w:tc>
          <w:tcPr>
            <w:tcW w:type="dxa" w:w="5004"/>
          </w:tcPr>
          <w:p>
            <w:r>
              <w:rPr/>
              <w:t>开标解密时长：30分钟。提交最后报价时限：20分钟。</w:t>
            </w:r>
          </w:p>
          <w:p>
            <w:r>
              <w:rPr/>
              <w:t>说明：具体情况根据开标时现场代理机构人员设置为准</w:t>
            </w:r>
          </w:p>
        </w:tc>
      </w:tr>
      <w:tr>
        <w:tc>
          <w:tcPr>
            <w:tcW w:type="dxa" w:w="1051"/>
          </w:tcPr>
          <w:p>
            <w:pPr>
              <w:jc w:val="center"/>
            </w:pPr>
            <w:r>
              <w:rPr/>
              <w:t>20</w:t>
            </w:r>
          </w:p>
        </w:tc>
        <w:tc>
          <w:tcPr>
            <w:tcW w:type="dxa" w:w="2252"/>
          </w:tcPr>
          <w:p>
            <w:r>
              <w:rPr/>
              <w:t>专门面向中小企业采购</w:t>
            </w:r>
          </w:p>
        </w:tc>
        <w:tc>
          <w:tcPr>
            <w:tcW w:type="dxa" w:w="5004"/>
          </w:tcPr>
          <w:p>
            <w:pPr>
              <w:jc w:val="left"/>
            </w:pPr>
            <w:r>
              <w:rPr/>
              <w:t>采购包1：面向中小企业，采购包专门预留</w:t>
            </w:r>
          </w:p>
        </w:tc>
      </w:tr>
    </w:tbl>
    <w:p>
      <w:r>
        <w:rPr>
          <w:b/>
          <w:sz w:val="28"/>
        </w:rPr>
        <w:t>三、说明</w:t>
      </w:r>
    </w:p>
    <w:p>
      <w:r>
        <w:rPr>
          <w:b/>
          <w:sz w:val="24"/>
        </w:rPr>
        <w:t>1.总则</w:t>
      </w:r>
    </w:p>
    <w:p>
      <w:pPr>
        <w:ind w:firstLine="480"/>
      </w:pPr>
      <w:r>
        <w:rPr/>
        <w:t>本磋商文件依据《中华人民共和国政府采购法》、《中华人民共和国政府采购法实施条例》（国务院令第658号）和《政府采购竞争性磋商采购方式管理暂行办法》（财库〔2014〕214号）及国家和广东省有关法律、法规、规章制度编制。</w:t>
      </w:r>
    </w:p>
    <w:p>
      <w:pPr>
        <w:ind w:firstLine="480"/>
      </w:pPr>
      <w:r>
        <w:rPr/>
        <w:t>供应商应仔细阅读本项目信息公告及磋商文件的所有内容（包括变更、补充、澄清以及修改等，且均为磋商文件的组成部分），按照磋商文件要求以及格式编制响应文件，并保证其真实性，否则一切后果自负。</w:t>
      </w:r>
    </w:p>
    <w:p>
      <w:pPr>
        <w:ind w:firstLine="480"/>
      </w:pPr>
      <w:r>
        <w:rPr/>
        <w:t>本次竞争性磋商项目，是以磋商公告的方式邀请非特定的供应商参加磋商。</w:t>
      </w:r>
    </w:p>
    <w:p>
      <w:r>
        <w:rPr>
          <w:b/>
          <w:sz w:val="24"/>
        </w:rPr>
        <w:t>2.适用范围</w:t>
      </w:r>
    </w:p>
    <w:p>
      <w:pPr>
        <w:ind w:firstLine="480"/>
      </w:pPr>
      <w:r>
        <w:rPr/>
        <w:t>本磋商文件仅适用于本次磋商公告中所涉及的项目和内容。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4.磋商费用</w:t>
      </w:r>
    </w:p>
    <w:p>
      <w:pPr>
        <w:ind w:firstLine="480"/>
      </w:pPr>
      <w:r>
        <w:rPr/>
        <w:t>不论磋商结果如何，供应商应承担所有与准备和参加磋商有关的费用。采购代理机构和采购人均无义务和责任承担相关费用。</w:t>
      </w:r>
    </w:p>
    <w:p>
      <w:r>
        <w:rPr>
          <w:b/>
          <w:sz w:val="24"/>
        </w:rPr>
        <w:t>5.以联合体形式磋商的，应符合以下规定：</w:t>
      </w:r>
    </w:p>
    <w:p>
      <w:pPr>
        <w:ind w:firstLine="480"/>
      </w:pPr>
      <w:r>
        <w:rPr/>
        <w:t>5.1联合体各方均应当满足《中华人民共和国政府采购法》第二十二条规定的条件，并在响应文件中提供联合体各方的相关证明材料。</w:t>
      </w:r>
    </w:p>
    <w:p>
      <w:pPr>
        <w:ind w:firstLine="480"/>
      </w:pPr>
      <w:r>
        <w:rPr/>
        <w:t>5.2联合体各方之间应签订联合体协议书并在响应文件中提交，明确约定联合体各方承担的工作和相应的责任。联合体各方签订联合体协议书后，不得再以自己名义单独在同一项目中响应，也不得组成新的联合体参加同一项目响应，若违反规定则其参与的所有响应将视为无效响应。</w:t>
      </w:r>
    </w:p>
    <w:p>
      <w:pPr>
        <w:ind w:firstLine="480"/>
      </w:pPr>
      <w:r>
        <w:rPr/>
        <w:t>5.3联合体应以联合协议中确定的牵头方名义登录云平台项目采购系统进行项目响应，录入联合体所有成员单位的全称并使用成员单位的电子印章进行联投确认，联合体名称需与联合体协议书签署方一致。对于需交响应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6.关联企业响应说明</w:t>
      </w:r>
    </w:p>
    <w:p>
      <w:pPr>
        <w:ind w:firstLine="480"/>
      </w:pPr>
      <w:r>
        <w:rPr/>
        <w:t>6.1对于不接受联合体响应的采购项目（采购包）：法定代表人或单位负责人为同一个人或者存在直接控股、管理关系的不同供应商，不得同时参加同一项目或同一采购包的响应。如同时参加，则评审时将同时被拒绝。</w:t>
      </w:r>
    </w:p>
    <w:p>
      <w:pPr>
        <w:ind w:firstLine="480"/>
      </w:pPr>
      <w:r>
        <w:rPr/>
        <w:t>6.2对于接受联合体响应的采购项目（采购包）：除联合体外，法定代表人或单位负责人为同一个人或者存在直接控股、管理关系的不同供应商，不得同时参加同一项目或同一采购包的响应。如同时参加，则评审时将同时被拒绝。</w:t>
      </w:r>
    </w:p>
    <w:p>
      <w:r>
        <w:rPr>
          <w:b/>
          <w:sz w:val="24"/>
        </w:rPr>
        <w:t>7.关于中小微企业响应</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响应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8.1供应商不得相互串通磋商报价，不得妨碍其他供应商的公平竞争，不得损害采购人或其他供应商的合法权益，供应商不得以向采购人、磋商小组成员行贿或者采取其他不正当手段谋取成交。</w:t>
      </w:r>
    </w:p>
    <w:p>
      <w:pPr>
        <w:ind w:firstLine="480"/>
      </w:pPr>
      <w:r>
        <w:rPr/>
        <w:t>8.2供应商不得与采购人就响应价格、响应方案等实质性内容进行磋商，也不得私下接触磋商小组成员。</w:t>
      </w:r>
    </w:p>
    <w:p>
      <w:pPr>
        <w:ind w:firstLine="480"/>
      </w:pPr>
      <w:r>
        <w:rPr/>
        <w:t>8.3在确定成交供应商之前，供应商试图在响应文件审查、澄清、比较和评价时对磋商小组、采购人和采购代理机构施加任何影响都可能导致其响应无效。</w:t>
      </w:r>
    </w:p>
    <w:p>
      <w:pPr>
        <w:ind w:firstLine="480"/>
      </w:pPr>
      <w:r>
        <w:rPr/>
        <w:t>8.4获得本磋商文件者，须履行本磋商项目下保密义务，不得将因本次磋商获得的信息向第三人外传，不得将磋商文件用作本次响应以外的任何用途。</w:t>
      </w:r>
    </w:p>
    <w:p>
      <w:pPr>
        <w:ind w:firstLine="480"/>
      </w:pPr>
      <w:r>
        <w:rPr/>
        <w:t>8.5由采购人向供应商提供的图纸、详细资料、样品、模型、模件和所有其它资料，均为保密资料，仅被用于它所规定的用途。除非得到采购人的同意，不能向任何第三方透露。开启结束后，应采购人要求，供应商应归还所有从采购人处获得的保密资料。</w:t>
      </w:r>
    </w:p>
    <w:p>
      <w:pPr>
        <w:ind w:firstLine="480"/>
      </w:pPr>
      <w:r>
        <w:rPr/>
        <w:t>8.6采购人或采购代理机构有权将供应商提供的所有资料向有关政府部门或询价小组披露。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磋商文件另有规定外，响应文件应使用中文文本，若有不同文本，以中文文本为准。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9.2除非磋商文件的技术规格中另有规定，供应商在响应文件中及其与采购人和采购代理机构的所有往来文件中的计量单位均应采用中华人民共和国法定计量单位。</w:t>
      </w:r>
    </w:p>
    <w:p>
      <w:pPr>
        <w:ind w:firstLine="480"/>
      </w:pPr>
      <w:r>
        <w:rPr/>
        <w:t>9.3供应商所提供的货物和服务均应以人民币报价，货币单位：元。</w:t>
      </w:r>
    </w:p>
    <w:p>
      <w:r>
        <w:rPr>
          <w:b/>
          <w:sz w:val="24"/>
        </w:rPr>
        <w:t>10. 现场踏勘（如有）</w:t>
      </w:r>
    </w:p>
    <w:p>
      <w:pPr>
        <w:ind w:firstLine="480"/>
      </w:pPr>
      <w:r>
        <w:rPr/>
        <w:t>10.1磋商文件规定组织踏勘现场的，采购人按磋商文件规定的时间、地点组织供应商踏勘项目现场。</w:t>
      </w:r>
    </w:p>
    <w:p>
      <w:pPr>
        <w:ind w:firstLine="480"/>
      </w:pPr>
      <w:r>
        <w:rPr/>
        <w:t>10.2供应商自行承担踏勘现场发生的责任、风险和自身费用。</w:t>
      </w:r>
    </w:p>
    <w:p>
      <w:pPr>
        <w:ind w:firstLine="480"/>
      </w:pPr>
      <w:r>
        <w:rPr/>
        <w:t>10.3采购人在踏勘现场中介绍的资料和数据等，不构成对磋商文件的修改或不作为供应商编制响应文件的依据。</w:t>
      </w:r>
    </w:p>
    <w:p>
      <w:r>
        <w:rPr>
          <w:b/>
          <w:sz w:val="28"/>
        </w:rPr>
        <w:t>四、磋商文件的澄清和修改</w:t>
      </w:r>
    </w:p>
    <w:p>
      <w:pPr>
        <w:ind w:firstLine="480"/>
      </w:pPr>
      <w:r>
        <w:rPr/>
        <w:t>1.采购代理机构对磋商文件进行必要的澄清或者修改的，在指定媒体上发布更正公告。澄清或者修改的内容可能影响响应文件编制的，更正公告在递交响应文件截止时间至少5日前发出；不足5日的，代理机构顺延提交响应文件截止时间。</w:t>
      </w:r>
    </w:p>
    <w:p>
      <w:pPr>
        <w:ind w:firstLine="480"/>
      </w:pPr>
      <w:r>
        <w:rPr/>
        <w:t>2.更正公告及其所发布的内容或信息（包括但不限于：磋商文件的澄清或修改、现场考察或答疑会的有关事宜等）作为磋商文件的组成部分，对供应商具有约束力。一经在指定媒体上发布后，更正公告将作为通知所有磋商文件收受人的书面形式。</w:t>
      </w:r>
    </w:p>
    <w:p>
      <w:pPr>
        <w:ind w:firstLine="480"/>
      </w:pPr>
      <w:r>
        <w:rPr/>
        <w:t>3.如更正公告有重新发布电子磋商文件的，供应商应登录云平台项目采购系统下载最新发布的电子磋商文件制作响应文件。</w:t>
      </w:r>
    </w:p>
    <w:p>
      <w:pPr>
        <w:ind w:firstLine="480"/>
      </w:pPr>
      <w:r>
        <w:rPr/>
        <w:t>4.供应商在规定的时间内未对磋商文件提出疑问、质疑或要求澄清的，将视其为无异议。对磋商文件中描述有歧义或前后不一致的地方，磋商小组有权进行评判，但对同一条款的评判应适用于每个供应商。</w:t>
      </w:r>
    </w:p>
    <w:p>
      <w:r>
        <w:rPr>
          <w:b/>
          <w:sz w:val="28"/>
        </w:rPr>
        <w:t>五、响应要求</w:t>
      </w:r>
    </w:p>
    <w:p>
      <w:r>
        <w:rPr>
          <w:b/>
          <w:sz w:val="24"/>
        </w:rPr>
        <w:t>1.响应登记</w:t>
      </w:r>
    </w:p>
    <w:p>
      <w:pPr>
        <w:ind w:firstLine="480"/>
      </w:pPr>
      <w:r>
        <w:rPr/>
        <w:t>供应商应从广东省政府采购网（https://gdgpo.czt.gd.gov.cn/）上广东政府采购智慧云平台（以下简称“云平台”）的政府采购供应商入口进行免费注册并点击登录进入项目采购系统完成项目响应登记并在线获取磋商文件（未按上述方式获取磋商文件的供应商，其响应资格将被视为无效）。</w:t>
      </w:r>
    </w:p>
    <w:p>
      <w:r>
        <w:rPr>
          <w:b/>
          <w:sz w:val="24"/>
        </w:rPr>
        <w:t>2.响应文件的制作</w:t>
      </w:r>
    </w:p>
    <w:p>
      <w:pPr>
        <w:ind w:firstLine="480"/>
      </w:pPr>
      <w:r>
        <w:rPr/>
        <w:t>2.1响应文件中，所有内容均以电子文件编制，其格式要求详见第六章说明。如因不按要求编制导致系统无法检索、读取相关信息时，其后果由供应商承担。由于本项目采用电子化投标，请充分考虑设备、网络环境、人员对系统熟悉度等因素，合理安排响应文件制作、提交时间，建议至少提前一天完成制作、提交工作。</w:t>
      </w:r>
    </w:p>
    <w:p>
      <w:pPr>
        <w:ind w:firstLine="480"/>
      </w:pPr>
      <w:r>
        <w:rPr/>
        <w:t>2.2供应商应使用云平台提供的投标客户端编制、标记、加密响应文件，成功加密后将生成指定格式的电子响应文件和电子备用响应文件。所有响应文件不能进行压缩处理。关于电子磋商报价说明如下：</w:t>
      </w:r>
    </w:p>
    <w:p>
      <w:pPr>
        <w:ind w:firstLine="480"/>
      </w:pPr>
      <w:r>
        <w:rPr/>
        <w:t>（1）供应商应按照“第二章采购需求”的需求内容、责任范围以及合同条款进行报价。并按“首轮报价表”和“分项报价表”规定的格式报出总价和分项价格。磋商总价中不得包含磋商文件要求以外的内容，否则，在评审时不予核减。</w:t>
      </w:r>
    </w:p>
    <w:p>
      <w:pPr>
        <w:ind w:firstLine="480"/>
      </w:pPr>
      <w:r>
        <w:rPr/>
        <w:t>（2）磋商报价包括本项目采购需求和投入使用的所有费用，包括但不限于主件、标准附件、备品备件、施工、服务、专用工具、安装、调试、检验、培训、运输、保险、税款等。</w:t>
      </w:r>
    </w:p>
    <w:p>
      <w:pPr>
        <w:ind w:firstLine="480"/>
      </w:pPr>
      <w:r>
        <w:rPr/>
        <w:t>（3）磋商报价不得有选择性报价和附有条件的报价，否则将导致响应无效。</w:t>
      </w:r>
    </w:p>
    <w:p>
      <w:pPr>
        <w:ind w:firstLine="480"/>
      </w:pPr>
      <w:r>
        <w:rPr/>
        <w:t>2.3如有对多个采购包响应的，要对每个采购包独立制作电子响应文件。</w:t>
      </w:r>
    </w:p>
    <w:p>
      <w:pPr>
        <w:ind w:firstLine="480"/>
      </w:pPr>
      <w:r>
        <w:rPr/>
        <w:t>2.4供应商不得将同一个项目或同一个采购包的内容拆开响应，否则其报价将被视为非实质性响应。</w:t>
      </w:r>
    </w:p>
    <w:p>
      <w:pPr>
        <w:ind w:firstLine="480"/>
      </w:pPr>
      <w:r>
        <w:rPr/>
        <w:t>2.5供应商须对磋商文件的对应要求给予唯一的实质性响应，否则将视为不响应。</w:t>
      </w:r>
    </w:p>
    <w:p>
      <w:pPr>
        <w:ind w:firstLine="480"/>
      </w:pPr>
      <w:r>
        <w:rPr/>
        <w:t>2.6磋商文件中，凡标有“★”的地方均为实质性响应条款，供应商若有一项带“★”的条款未响应或不满足，将按无效响应处理。</w:t>
      </w:r>
    </w:p>
    <w:p>
      <w:pPr>
        <w:ind w:firstLine="480"/>
      </w:pPr>
      <w:r>
        <w:rPr/>
        <w:t>2.7供应商必须按磋商文件指定的格式填写各种报价，各报价应计算正确。除在磋商文件另有规定外（如：报折扣、报优惠率等），计量单位应使用中华人民共和国法定计量单位，以人民币填报所有报价。</w:t>
      </w:r>
    </w:p>
    <w:p>
      <w:pPr>
        <w:ind w:firstLine="480"/>
      </w:pPr>
      <w:r>
        <w:rPr/>
        <w:t>2.8响应文件以及供应商与采购人、代理机构就有关响应的往来函电均应使用中文。供应商提交的支持性文件和印制的文件可以用另一种语言，但相应内容应翻译成中文，在解释响应文件时以中文文本为准。</w:t>
      </w:r>
    </w:p>
    <w:p>
      <w:pPr>
        <w:ind w:firstLine="480"/>
      </w:pPr>
      <w:r>
        <w:rPr/>
        <w:t>2.9供应商应按磋商文件的规定及附件要求的内容和格式完整地填写和提供资料。供应商必须对响应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3.响应文件的提交</w:t>
      </w:r>
    </w:p>
    <w:p>
      <w:pPr>
        <w:ind w:firstLine="480"/>
      </w:pPr>
      <w:r>
        <w:rPr/>
        <w:t>3.1在响应文件提交截止时间前，供应商须将电子响应文件成功完整上传到云平台项目采购系统，且取得响应回执。时间以云平台项目采购系统服务器从中国科学院国家授时中心取得的北京时间为准，递交响应文件截止时间结束后，系统将不允许供应商上传响应文件，已上传响应文件但未完成传输的文件系统将拒绝接收。</w:t>
      </w:r>
    </w:p>
    <w:p>
      <w:pPr>
        <w:ind w:firstLine="480"/>
      </w:pPr>
      <w:r>
        <w:rPr/>
        <w:t>3.2代理机构对因不可抗力事件造成的响应文件的损坏、丢失的，不承担责任。</w:t>
      </w:r>
    </w:p>
    <w:p>
      <w:pPr>
        <w:ind w:firstLine="480"/>
      </w:pPr>
      <w:r>
        <w:rPr/>
        <w:t>3.3出现下述情形之一，属于未成功提交响应文件，按无效响应处理：</w:t>
      </w:r>
    </w:p>
    <w:p>
      <w:pPr>
        <w:ind w:firstLine="480"/>
      </w:pPr>
      <w:r>
        <w:rPr/>
        <w:t>（1）至提交响应文件截止时，响应文件未完整上传并取得响应回执的。</w:t>
      </w:r>
    </w:p>
    <w:p>
      <w:pPr>
        <w:ind w:firstLine="480"/>
      </w:pPr>
      <w:r>
        <w:rPr/>
        <w:t>（2）响应文件未按响应格式中注明需签字盖章的要求进行签名（含电子签名）和加盖电子印章，或签名（含电子签名）或电子印章不完整的。</w:t>
      </w:r>
    </w:p>
    <w:p>
      <w:pPr>
        <w:ind w:firstLine="480"/>
      </w:pPr>
      <w:r>
        <w:rPr/>
        <w:t>（3）响应文件损坏或格式不正确的。</w:t>
      </w:r>
    </w:p>
    <w:p>
      <w:r>
        <w:rPr>
          <w:b/>
          <w:sz w:val="24"/>
        </w:rPr>
        <w:t>4.响应文件的修改、撤回与撤销</w:t>
      </w:r>
    </w:p>
    <w:p>
      <w:pPr>
        <w:ind w:firstLine="480"/>
      </w:pPr>
      <w:r>
        <w:rPr/>
        <w:t>4.1在提交响应文件截止时间前，供应商可以修改或撤回未解密的电子响应文件，并于提交响应文件截止时间前将修改后重新生成的电子响应文件上传至系统，到达响应文件提交截止时间后，将不允许修改或撤回。</w:t>
      </w:r>
    </w:p>
    <w:p>
      <w:pPr>
        <w:ind w:firstLine="480"/>
      </w:pPr>
      <w:r>
        <w:rPr/>
        <w:t>4.2在提交响应文件截止时间后，供应商不得补充、修改和更换响应文件。</w:t>
      </w:r>
    </w:p>
    <w:p>
      <w:r>
        <w:rPr>
          <w:b/>
          <w:sz w:val="24"/>
        </w:rPr>
        <w:t>5.响应文件的解密</w:t>
      </w:r>
    </w:p>
    <w:p>
      <w:pPr>
        <w:ind w:firstLine="480"/>
      </w:pPr>
      <w:r>
        <w:rPr/>
        <w:t>到达开启时间后，供应商需携带并使用制作该响应文件的同一数字证书参加开启解密，供应商须在采购代理机构规定的时间内完成响应文件解密，供应商未携带数字证书或其他非系统原因导致的逾期未解密响应文件，将作无效响应处理。</w:t>
      </w:r>
    </w:p>
    <w:p>
      <w:r>
        <w:rPr>
          <w:b/>
          <w:sz w:val="24"/>
        </w:rPr>
        <w:t>6.响应保证金</w:t>
      </w:r>
    </w:p>
    <w:p>
      <w:pPr>
        <w:ind w:firstLine="480"/>
      </w:pPr>
      <w:r>
        <w:rPr/>
        <w:t>6.1响应保证金的缴纳</w:t>
      </w:r>
    </w:p>
    <w:p>
      <w:pPr>
        <w:ind w:firstLine="480"/>
      </w:pPr>
      <w:r>
        <w:rPr/>
        <w:t>供应商在提交响应文件的同时，应按供应商须知前附表规定的金额和缴纳要求缴纳响应保证金，并作为其响应文件的组成部分。</w:t>
      </w:r>
    </w:p>
    <w:p>
      <w:pPr>
        <w:ind w:firstLine="480"/>
      </w:pPr>
      <w:r>
        <w:rPr/>
        <w:t>如采用转账、支票、本票、汇票形式提交的，响应保证金从供应商基本账户递交，由</w:t>
      </w:r>
      <w:r>
        <w:rPr/>
        <w:t>广东省机电设备招标有限公司佛山分公司</w:t>
      </w:r>
      <w:r>
        <w:rPr/>
        <w:t>代收。具体操作要求详见</w:t>
      </w:r>
      <w:r>
        <w:rPr/>
        <w:t>广东省机电设备招标有限公司佛山分公司</w:t>
      </w:r>
      <w:r>
        <w:rPr/>
        <w:t>有关指引，递交事宜请自行咨询</w:t>
      </w:r>
      <w:r>
        <w:rPr/>
        <w:t>广东省机电设备招标有限公司佛山分公司</w:t>
      </w:r>
      <w:r>
        <w:rPr/>
        <w:t>；请各供应商在响应文件递交截止时间前按须知前附表规定的金额递交至</w:t>
      </w:r>
      <w:r>
        <w:rPr/>
        <w:t>广东省机电设备招标有限公司佛山分公司</w:t>
      </w:r>
      <w:r>
        <w:rPr/>
        <w:t>，到账情况以开启时</w:t>
      </w:r>
      <w:r>
        <w:rPr/>
        <w:t>广东省机电设备招标有限公司佛山分公司</w:t>
      </w:r>
      <w:r>
        <w:rPr/>
        <w:t>查询的信息为准。</w:t>
      </w:r>
    </w:p>
    <w:p>
      <w:pPr>
        <w:ind w:firstLine="480"/>
      </w:pPr>
      <w:r>
        <w:rPr/>
        <w:t>如采用金融机构、专业担保机构开具的响应保函、响应保证保险函等形式提交响应保证金的，响应保函或响应保证保险函须开具给采购人（保险受益人须为采购人），并与响应文件一同递交。</w:t>
      </w:r>
    </w:p>
    <w:p>
      <w:pPr>
        <w:ind w:firstLine="480"/>
      </w:pPr>
      <w:r>
        <w:rPr/>
        <w:t>供应商可通过"广东政府采购智慧云平台金融服务中心"(https://gdgpo.czt.gd.gov.cn/zcdservice/zcd/guangdong/)，申请办理电子保函，电子保函与纸质保函具有同样效力。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启或评审现场无法拉取电子保函信息时，可提供电子保函打印件或购买凭证作为核验凭证。相关凭证应上传至系统归档保存。</w:t>
      </w:r>
    </w:p>
    <w:p>
      <w:pPr>
        <w:ind w:firstLine="480"/>
      </w:pPr>
      <w:r>
        <w:rPr/>
        <w:t>6.2响应保证金的退还：</w:t>
      </w:r>
    </w:p>
    <w:p>
      <w:pPr>
        <w:ind w:firstLine="480"/>
      </w:pPr>
      <w:r>
        <w:rPr/>
        <w:t>（1）供应商在递交响应文件截止时间前放弃响应的，自所投采购包结果公告发出后5个工作日内退还。</w:t>
      </w:r>
    </w:p>
    <w:p>
      <w:pPr>
        <w:ind w:firstLine="480"/>
      </w:pPr>
      <w:r>
        <w:rPr/>
        <w:t>（2）未成交的供应商保证金，在成交供应商发出后5个工作日内原额退还。</w:t>
      </w:r>
    </w:p>
    <w:p>
      <w:pPr>
        <w:ind w:firstLine="480"/>
      </w:pPr>
      <w:r>
        <w:rPr/>
        <w:t>（3）成交供应商的响应保证金,在成交供应商与采购人签订采购合同后5个工作日内原额退还。</w:t>
      </w:r>
    </w:p>
    <w:p>
      <w:pPr>
        <w:ind w:firstLine="480"/>
      </w:pPr>
      <w:r>
        <w:rPr/>
        <w:t>备注：但因供应商自身原因导致无法及时退还的除外。</w:t>
      </w:r>
    </w:p>
    <w:p>
      <w:pPr>
        <w:ind w:firstLine="480"/>
      </w:pPr>
      <w:r>
        <w:rPr/>
        <w:t>6.3有下列情形之一的，响应保证金将不予退还并上缴国库：</w:t>
      </w:r>
    </w:p>
    <w:p>
      <w:pPr>
        <w:ind w:firstLine="480"/>
      </w:pPr>
      <w:r>
        <w:rPr/>
        <w:t>（1）提供虚假材料谋取成交的；</w:t>
      </w:r>
    </w:p>
    <w:p>
      <w:pPr>
        <w:ind w:firstLine="480"/>
      </w:pPr>
      <w:r>
        <w:rPr/>
        <w:t>（2）供应商在磋商文件规定的响应有效期内撤销其响应；</w:t>
      </w:r>
    </w:p>
    <w:p>
      <w:pPr>
        <w:ind w:firstLine="480"/>
      </w:pPr>
      <w:r>
        <w:rPr/>
        <w:t>（3）成交后，无正当理由放弃成交资格；</w:t>
      </w:r>
    </w:p>
    <w:p>
      <w:pPr>
        <w:ind w:firstLine="480"/>
      </w:pPr>
      <w:r>
        <w:rPr/>
        <w:t>（4）成交后，无正当理由不与采购人签订合同；</w:t>
      </w:r>
    </w:p>
    <w:p>
      <w:pPr>
        <w:ind w:firstLine="480"/>
      </w:pPr>
      <w:r>
        <w:rPr/>
        <w:t>（5）法律法规和磋商文件规定的其他情形。</w:t>
      </w:r>
    </w:p>
    <w:p>
      <w:r>
        <w:rPr>
          <w:b/>
          <w:sz w:val="24"/>
        </w:rPr>
        <w:t>7.响应有效期</w:t>
      </w:r>
    </w:p>
    <w:p>
      <w:pPr>
        <w:ind w:firstLine="480"/>
      </w:pPr>
      <w:r>
        <w:rPr/>
        <w:t>7.1响应有效期内供应商撤销响应文件的，采购人或者采购代理机构可以不退还响应保证金（如有）。采用响应保函方式替代保证金的，采购人或者采购代理机构可以向担保机构索赔保证金。</w:t>
      </w:r>
    </w:p>
    <w:p>
      <w:pPr>
        <w:ind w:firstLine="480"/>
      </w:pPr>
      <w:r>
        <w:rPr/>
        <w:t>7.2出现特殊情况需延长响应有效期的，采购人或采购代理机构可于响应有效期满之前要求供应商同意延长有效期，要求与答复均以书面形式通知所有供应商。供应商同意延长的，应相应延长其响应保证金（如有）的有效期，但不得要求或被允许修改或撤销其响应文件；供应商可以拒绝延长有效期，但其响应将会被视为无效，拒绝延长有效期的供应商有权收回其响应保证金（如有）。采用响应保函方式替代保证金的，响应有效期超出保函有效期的，采购人或者采购代理机构应提示响应供应商重新开函，未获得有效保函的响应供应商其响应将会被视为无效。</w:t>
      </w:r>
    </w:p>
    <w:p>
      <w:r>
        <w:rPr>
          <w:b/>
          <w:sz w:val="24"/>
        </w:rPr>
        <w:t>8.样品（演示）</w:t>
      </w:r>
    </w:p>
    <w:p>
      <w:pPr>
        <w:ind w:firstLine="480"/>
      </w:pPr>
      <w:r>
        <w:rPr/>
        <w:t>8.1磋商文件规定供应商提交样品的，样品属于响应文件的组成部分。样品的生产、运输、安装、保全等一切费用由供应商自理。</w:t>
      </w:r>
    </w:p>
    <w:p>
      <w:pPr>
        <w:ind w:firstLine="480"/>
      </w:pPr>
      <w:r>
        <w:rPr/>
        <w:t>8.2递交响应文件截止时间前，供应商应将样品送达至指定地点。若需要现场演示的，供应商应提前做好演示准备（包括演示设备）。</w:t>
      </w:r>
    </w:p>
    <w:p>
      <w:pPr>
        <w:ind w:firstLine="480"/>
      </w:pPr>
      <w:r>
        <w:rPr/>
        <w:t>8.3采购结果公告发布后，成交供应商的样品由采购人封存，作为履约验收的依据之一。未成交供应商在接到采购代理机构通知后，应按规定时间尽快自行取回样品，否则视同供应商不再认领，代理机构有权进行处理。</w:t>
      </w:r>
    </w:p>
    <w:p>
      <w:r>
        <w:rPr>
          <w:b/>
          <w:sz w:val="24"/>
        </w:rPr>
        <w:t>9.除磋商文件另有规定外，有下列情形之一的，响应无效：</w:t>
      </w:r>
    </w:p>
    <w:p>
      <w:pPr>
        <w:ind w:firstLine="480"/>
      </w:pPr>
      <w:r>
        <w:rPr/>
        <w:t>9.1响应文件未按照磋商文件要求签署、盖章；</w:t>
      </w:r>
    </w:p>
    <w:p>
      <w:pPr>
        <w:ind w:firstLine="480"/>
      </w:pPr>
      <w:r>
        <w:rPr/>
        <w:t>9.2不符合磋商文件中规定的资格要求；</w:t>
      </w:r>
    </w:p>
    <w:p>
      <w:pPr>
        <w:ind w:firstLine="480"/>
      </w:pPr>
      <w:r>
        <w:rPr/>
        <w:t>9.3磋商报价超过磋商文件中规定的预算金额或最高限价；</w:t>
      </w:r>
    </w:p>
    <w:p>
      <w:pPr>
        <w:ind w:firstLine="480"/>
      </w:pPr>
      <w:r>
        <w:rPr/>
        <w:t>9.4响应文件含有采购人不能接受的附加条件；</w:t>
      </w:r>
    </w:p>
    <w:p>
      <w:pPr>
        <w:ind w:firstLine="480"/>
      </w:pPr>
      <w:r>
        <w:rPr/>
        <w:t>9.5有关法律、法规和规章及磋商文件规定的其他无效情形。</w:t>
      </w:r>
    </w:p>
    <w:p>
      <w:r>
        <w:rPr>
          <w:b/>
          <w:sz w:val="28"/>
        </w:rPr>
        <w:t>六、磋商、评审和结果确定</w:t>
      </w:r>
    </w:p>
    <w:p>
      <w:r>
        <w:rPr>
          <w:b/>
          <w:sz w:val="24"/>
        </w:rPr>
        <w:t>1.响应文件的开启</w:t>
      </w:r>
    </w:p>
    <w:p>
      <w:pPr>
        <w:ind w:firstLine="480"/>
      </w:pPr>
      <w:r>
        <w:rPr/>
        <w:t>1.1开启程序</w:t>
      </w:r>
    </w:p>
    <w:p>
      <w:pPr>
        <w:ind w:firstLine="480"/>
      </w:pPr>
      <w:r>
        <w:rPr/>
        <w:t>工作人员按磋商公告规定的时间进行开启，由采购人或者采购代理机构工作人员宣布供应商名称、解密情况和磋商文件规定的需要宣布的其他内容。开启分为现场电子开启和远程电子开启两种。</w:t>
      </w:r>
    </w:p>
    <w:p>
      <w:pPr>
        <w:ind w:firstLine="480"/>
      </w:pPr>
      <w:r>
        <w:rPr/>
        <w:t>采用现场电子开启的：供应商的法定代表人或其委托代理人应当按照本磋商公告载明的时间和地点前往参加开启，并携带编制本项目（采购包）电子响应文件时加密所用的数字证书、存储有备用电子响应文件的U盘前往开启现场。</w:t>
      </w:r>
    </w:p>
    <w:p>
      <w:pPr>
        <w:ind w:firstLine="480"/>
      </w:pPr>
      <w:r>
        <w:rPr/>
        <w:t>采用远程电子开启的：供应商的法定代表人或其授权代表应当按照本磋商公告载明的时间和模式等要求参加开启。在递交响应文件截止时间前30分钟，应当登录云平台开标大厅进行签到，并且填写授权代表的姓名与手机号码。若因签到时填写的授权代表信息有误而导致的不良后果，由供应商自行承担。</w:t>
      </w:r>
    </w:p>
    <w:p>
      <w:pPr>
        <w:ind w:firstLine="480"/>
      </w:pPr>
      <w:r>
        <w:rPr/>
        <w:t>开启时，供应商应当使用编制本项目（采购包）电子响应文件时加密所用数字证书在开始解密后按照代理机构规定的时间内完成电子响应文件的解密，如遇不可抗力等其他特殊情况，采购代理机构可视情况延长解密时间。供应商未携带数字证书或其他非系统原因导致的在规定时间内未解密响应文件，将作无效响应处理。（采用远程电子开启的，各供应商在参加开启以前须自行对使用电脑的网络环境、驱动安装、客户端安装以及数字证书的有效性等进行检测，确保可以正常使用）。</w:t>
      </w:r>
    </w:p>
    <w:p>
      <w:pPr>
        <w:ind w:firstLine="480"/>
      </w:pPr>
      <w:r>
        <w:rPr/>
        <w:t>如在电子开启过程中出现无法正常解密的，代理机构可根据实际情况开启上传备用电子响应文件通道。系统将对上传的备用电子响应文件的合法性进行验证，若发现提交的备用电子响应文件与加密的电子响应文件版本不一致（即两份文件不是通过投标客户端同时加密生成的），系统将拒绝接收，视为无效响应。如供应商无法在代理规定的时间内完成备用电子响应文件的上传，响应将被拒绝，作无效响应处理。</w:t>
      </w:r>
    </w:p>
    <w:p>
      <w:pPr>
        <w:ind w:firstLine="480"/>
      </w:pPr>
      <w:r>
        <w:rPr/>
        <w:t>1.2异议</w:t>
      </w:r>
    </w:p>
    <w:p>
      <w:pPr>
        <w:ind w:firstLine="480"/>
      </w:pPr>
      <w:r>
        <w:rPr/>
        <w:t>供应商代表对开启过程和开启记录有疑义，以及认为采购人、采购代理机构相关工作人员有需要回避的情形的，应当场提出询问或者回避申请。供应商未参加开启的，视同认可开启结果。</w:t>
      </w:r>
    </w:p>
    <w:p>
      <w:pPr>
        <w:ind w:firstLine="480"/>
      </w:pPr>
      <w:r>
        <w:rPr/>
        <w:t>1.3开启时出现下列情况的，视为响应无效处理</w:t>
      </w:r>
    </w:p>
    <w:p>
      <w:pPr>
        <w:ind w:firstLine="480"/>
      </w:pPr>
      <w:r>
        <w:rPr/>
        <w:t>（1）经检查数字证书无效的；</w:t>
      </w:r>
    </w:p>
    <w:p>
      <w:pPr>
        <w:ind w:firstLine="480"/>
      </w:pPr>
      <w:r>
        <w:rPr/>
        <w:t>（2）因供应商自身原因，未在规定时间内完成电子响应文件解密的；</w:t>
      </w:r>
    </w:p>
    <w:p>
      <w:pPr>
        <w:ind w:firstLine="480"/>
      </w:pPr>
      <w:r>
        <w:rPr/>
        <w:t>（3）如需使用备用电子响应文件解密时，在规定的解密时间内无法提供备用电子响应文件或提供的备用电子响应文件与加密的电子响应文件版本不一致（即两份文件不是通过投标客户端同时加密生成的）。</w:t>
      </w:r>
    </w:p>
    <w:p>
      <w:r>
        <w:rPr>
          <w:b/>
          <w:sz w:val="24"/>
        </w:rPr>
        <w:t>2.评审（详见第四章）</w:t>
      </w:r>
    </w:p>
    <w:p>
      <w:r>
        <w:rPr>
          <w:b/>
          <w:sz w:val="24"/>
        </w:rPr>
        <w:t>3.成交</w:t>
      </w:r>
    </w:p>
    <w:p>
      <w:pPr>
        <w:ind w:firstLine="480"/>
      </w:pPr>
      <w:r>
        <w:rPr/>
        <w:t>3.1成交结果公告：</w:t>
      </w:r>
    </w:p>
    <w:p>
      <w:pPr>
        <w:ind w:firstLine="480"/>
      </w:pPr>
      <w:r>
        <w:rPr/>
        <w:t>成交供应商确定之日起2个工作日内，采购人或采购代理机构将在中国政府采购网(www.ccgp.gov.cn)、广东省政府采购网(https://gdgpo.czt.gd.gov.cn/)、</w:t>
      </w:r>
      <w:r>
        <w:rPr/>
        <w:t>广咨电子招投标交易平台（http://www.gzebid.cn/）</w:t>
      </w:r>
      <w:r>
        <w:rPr/>
        <w:t>上以公告的形式发布成交结果，结果公告的公告期限为</w:t>
        <w:tab/>
        <w:tab/>
        <w:t xml:space="preserve"> 1 个工作日。结果公告同时作为采购代理机构通知除成交供应商外的其他供应商没有成交的书面形式，采购代理机构不再以其它方式另行通知。</w:t>
      </w:r>
    </w:p>
    <w:p>
      <w:pPr>
        <w:ind w:firstLine="480"/>
      </w:pPr>
      <w:r>
        <w:rPr/>
        <w:t>3.2成交通知书：</w:t>
      </w:r>
    </w:p>
    <w:p>
      <w:pPr>
        <w:ind w:firstLine="480"/>
      </w:pPr>
      <w:r>
        <w:rPr/>
        <w:t>采购人或采购代理机构在发布结果公告时，在云平台同步发送至成交供应商。成交供应商可在云平台自行下载打印《成交通知书》，《成交通知书》将作为授予合同资格的唯一合法依据。成交通知书发出后，采购人不得违法改变成交结果，成交供应商不得放弃成交。成交供应商放弃成交的，应当依法承担相应的法律责任。</w:t>
      </w:r>
    </w:p>
    <w:p>
      <w:pPr>
        <w:ind w:firstLine="480"/>
      </w:pPr>
      <w:r>
        <w:rPr/>
        <w:t>3.3终止公告：</w:t>
      </w:r>
    </w:p>
    <w:p>
      <w:pPr>
        <w:ind w:firstLine="480"/>
      </w:pPr>
      <w:r>
        <w:rPr/>
        <w:t>终止磋商采购活动后，采购人或采购代理机构将在中国政府采购网(www.ccgp.gov.cn)、广东省政府采购网(https://gdgpo.czt.gd.gov.cn/)、</w:t>
      </w:r>
      <w:r>
        <w:rPr/>
        <w:t>广咨电子招投标交易平台（http://www.gzebid.cn/）</w:t>
      </w:r>
      <w:r>
        <w:rPr/>
        <w:t>上发布终止公告，终止公告的公告期限为</w:t>
        <w:tab/>
        <w:tab/>
        <w:t xml:space="preserve"> 1 个工作日。</w:t>
      </w:r>
    </w:p>
    <w:p>
      <w:r>
        <w:rPr>
          <w:b/>
          <w:sz w:val="28"/>
        </w:rPr>
        <w:t>七、询问、质疑与投诉</w:t>
      </w:r>
    </w:p>
    <w:p>
      <w:r>
        <w:rPr>
          <w:b/>
          <w:sz w:val="24"/>
        </w:rPr>
        <w:t>1.询问</w:t>
      </w:r>
    </w:p>
    <w:p>
      <w:pPr>
        <w:ind w:firstLine="480"/>
      </w:pPr>
      <w:r>
        <w:rPr/>
        <w:t>供应商对政府采购活动事项（磋商文件、采购过程和成交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响应邀请函》中“采购人、采购代理机构的名称、地址和联系方式”。</w:t>
      </w:r>
    </w:p>
    <w:p>
      <w:r>
        <w:rPr>
          <w:b/>
          <w:sz w:val="24"/>
        </w:rPr>
        <w:t>2.质疑</w:t>
      </w:r>
    </w:p>
    <w:p>
      <w:pPr>
        <w:ind w:firstLine="480"/>
      </w:pPr>
      <w:r>
        <w:rPr/>
        <w:t>2.1供应商认为磋商文件、采购过程和成交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（1）对磋商文件提出质疑的，为获取磋商文件之日或者磋商文件公告期限届满之日；</w:t>
      </w:r>
    </w:p>
    <w:p>
      <w:pPr>
        <w:ind w:firstLine="480"/>
      </w:pPr>
      <w:r>
        <w:rPr/>
        <w:t>（2）对采购过程提出质疑的，为各采购程序环节结束之日；</w:t>
      </w:r>
    </w:p>
    <w:p>
      <w:pPr>
        <w:ind w:firstLine="480"/>
      </w:pPr>
      <w:r>
        <w:rPr/>
        <w:t>（3）对成交结果提出质疑的，为成交结果公告期限届满之日。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（3）认为磋商文件、采购过程和成交结果使自己的合法权益受到损害的法律依据、事实依据、相关证明材料及证据来源；</w:t>
      </w:r>
    </w:p>
    <w:p>
      <w:pPr>
        <w:ind w:firstLine="480"/>
      </w:pPr>
      <w:r>
        <w:rPr/>
        <w:t>（4）提出质疑的日期。</w:t>
      </w:r>
    </w:p>
    <w:p>
      <w:pPr>
        <w:ind w:firstLine="480"/>
      </w:pPr>
      <w:r>
        <w:rPr/>
        <w:t>2.3质疑函应当署名。质疑供应商为自然人的，应当由本人签字；质疑供应商为法人或者其他组织的，应当由法定代表人、主要负责人，或者其授权代表签字或者盖章，并加盖公章。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李工</w:t>
      </w:r>
    </w:p>
    <w:p>
      <w:pPr>
        <w:ind w:firstLine="480"/>
      </w:pPr>
      <w:r>
        <w:rPr/>
        <w:t>电话：</w:t>
      </w:r>
      <w:r>
        <w:rPr/>
        <w:t>0757-83126108</w:t>
      </w:r>
    </w:p>
    <w:p>
      <w:pPr>
        <w:ind w:firstLine="480"/>
      </w:pPr>
      <w:r>
        <w:rPr/>
        <w:t>传真：</w:t>
      </w:r>
      <w:r>
        <w:rPr/>
        <w:t>/</w:t>
      </w:r>
    </w:p>
    <w:p>
      <w:pPr>
        <w:ind w:firstLine="480"/>
      </w:pPr>
      <w:r>
        <w:rPr/>
        <w:t>邮箱：</w:t>
      </w:r>
      <w:r>
        <w:rPr/>
        <w:t>/</w:t>
      </w:r>
    </w:p>
    <w:p>
      <w:pPr>
        <w:ind w:firstLine="480"/>
      </w:pPr>
      <w:r>
        <w:rPr/>
        <w:t>地址：</w:t>
      </w:r>
      <w:r>
        <w:rPr/>
        <w:t>佛山市禅城区汾江中路148号华美大厦10楼</w:t>
      </w:r>
    </w:p>
    <w:p>
      <w:pPr>
        <w:ind w:firstLine="480"/>
      </w:pPr>
      <w:r>
        <w:rPr/>
        <w:t>邮编：</w:t>
      </w:r>
      <w:r>
        <w:rPr/>
        <w:t>528000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政府采购监督管理机构名称：佛山市政务服务数据管理局（交易监管科）</w:t>
      </w:r>
    </w:p>
    <w:p>
      <w:r>
        <w:rPr/>
        <w:t>地  址：佛山市禅城区季华五路公交大厦五楼</w:t>
      </w:r>
    </w:p>
    <w:p>
      <w:r>
        <w:rPr/>
        <w:t>电  话：0757-83999763</w:t>
      </w:r>
    </w:p>
    <w:p>
      <w:r>
        <w:rPr/>
        <w:t>邮  编：528000</w:t>
      </w:r>
    </w:p>
    <w:p>
      <w:r>
        <w:rPr/>
        <w:t>传  真：-</w:t>
      </w:r>
    </w:p>
    <w:p/>
    <w:p>
      <w:r>
        <w:rPr>
          <w:b/>
          <w:sz w:val="28"/>
        </w:rPr>
        <w:t>八、合同签订和履行</w:t>
      </w:r>
    </w:p>
    <w:p>
      <w:r>
        <w:rPr>
          <w:b/>
          <w:sz w:val="24"/>
        </w:rPr>
        <w:t>1.合同签订</w:t>
      </w:r>
    </w:p>
    <w:p>
      <w:pPr>
        <w:ind w:firstLine="480"/>
      </w:pPr>
      <w:r>
        <w:rPr/>
        <w:t>1.1采购人应当自《成交通知书》发出之日起三十日内，按照磋商文件和成交供应商响应文件的约定，与成交供应商签订合同。所签订的合同不得对磋商文件和成交供应商响应文件作实质性修改。</w:t>
      </w:r>
    </w:p>
    <w:p>
      <w:pPr>
        <w:ind w:firstLine="480"/>
      </w:pPr>
      <w:r>
        <w:rPr/>
        <w:t>1.2采购人不得提出试用合格等任何不合理的要求作为签订合同的条件，且不得与成交供应商私下订立背离合同实质性内容的协议。</w:t>
      </w:r>
    </w:p>
    <w:p>
      <w:pPr>
        <w:ind w:firstLine="480"/>
      </w:pPr>
      <w:r>
        <w:rPr/>
        <w:t>1.3采购人应当自政府采购合同签订之日起2个工作日内，将政府采购合同在省级以上人民政府财政部门指定的媒体上公告，但政府采购合同中涉及国家秘密、商业秘密的内容除外。</w:t>
      </w:r>
    </w:p>
    <w:p>
      <w:pPr>
        <w:ind w:firstLine="480"/>
      </w:pPr>
      <w:r>
        <w:rPr/>
        <w:t>1.4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评审</w:t>
      </w:r>
    </w:p>
    <w:p>
      <w:r>
        <w:rPr>
          <w:b/>
          <w:sz w:val="28"/>
        </w:rPr>
        <w:t>一、评审要求</w:t>
      </w:r>
    </w:p>
    <w:p>
      <w:r>
        <w:rPr>
          <w:b/>
          <w:sz w:val="24"/>
        </w:rPr>
        <w:t>1.评审方法</w:t>
      </w:r>
    </w:p>
    <w:p>
      <w:pPr>
        <w:ind w:firstLine="480"/>
      </w:pPr>
    </w:p>
    <w:p/>
    <w:p>
      <w:r>
        <w:rPr/>
        <w:t>采购包1(佛山市教育数据银行数据处理服务（2023-2025年）项目)：综合评分法,是指响应文件满足磋商文件全部实质性要求，且按照评审因素的量化指标评审得分最高的投标人为成交候选人的评标方法。（最低报价不是成交的唯一依据。）</w:t>
      </w:r>
    </w:p>
    <w:p/>
    <w:p>
      <w:r>
        <w:rPr>
          <w:b/>
          <w:sz w:val="24"/>
        </w:rPr>
        <w:t>2.评审原则</w:t>
      </w:r>
    </w:p>
    <w:p>
      <w:pPr>
        <w:ind w:firstLine="480"/>
      </w:pPr>
      <w:r>
        <w:rPr/>
        <w:t>2.1评审活动遵循公平、公正、科学和择优的原则，以磋商文件和响应文件为评审的基本依据，并按照磋商文件规定的评审方法和评审标准进行评审。</w:t>
      </w:r>
    </w:p>
    <w:p>
      <w:pPr>
        <w:ind w:firstLine="480"/>
      </w:pPr>
      <w:r>
        <w:rPr/>
        <w:t>2.2具体评审事项由磋商小组负责，并按磋商文件的规定办法进行评审。对磋商文件中描述有歧义或前后不一致的地方，磋商小组有权按法律法规的规定进行评判，但对同一条款的评判应适用于每个响应供应商。</w:t>
      </w:r>
    </w:p>
    <w:p>
      <w:r>
        <w:rPr>
          <w:b/>
          <w:sz w:val="24"/>
        </w:rPr>
        <w:t>3.磋商小组</w:t>
      </w:r>
    </w:p>
    <w:p>
      <w:pPr>
        <w:ind w:firstLine="480"/>
      </w:pPr>
      <w:r>
        <w:rPr/>
        <w:t>3.1磋商小组由采购人代表和评审专家组成，成员人数应当为3人及以上单数，其中技术、经济等方面的评审专家不得少于成员总数的三分之二。</w:t>
      </w:r>
    </w:p>
    <w:p>
      <w:pPr>
        <w:ind w:firstLine="480"/>
      </w:pPr>
      <w:r>
        <w:rPr/>
        <w:t>3.2评审应遵守下列评审纪律：</w:t>
      </w:r>
    </w:p>
    <w:p>
      <w:pPr>
        <w:ind w:firstLine="480"/>
      </w:pPr>
      <w:r>
        <w:rPr/>
        <w:t>（1）评审情况不得私自外泄，有关信息由</w:t>
      </w:r>
      <w:r>
        <w:rPr/>
        <w:t>广东省机电设备招标有限公司佛山分公司</w:t>
      </w:r>
      <w:r>
        <w:rPr/>
        <w:t>统一对外发布。</w:t>
      </w:r>
    </w:p>
    <w:p>
      <w:pPr>
        <w:ind w:firstLine="480"/>
      </w:pPr>
      <w:r>
        <w:rPr/>
        <w:t>（2）对</w:t>
      </w:r>
      <w:r>
        <w:rPr/>
        <w:t>广东省机电设备招标有限公司佛山分公司</w:t>
      </w:r>
      <w:r>
        <w:rPr/>
        <w:t>或供应商提供的要求保密的资料，不得摘记翻印和外传。</w:t>
      </w:r>
    </w:p>
    <w:p>
      <w:pPr>
        <w:ind w:firstLine="480"/>
      </w:pPr>
      <w:r>
        <w:rPr/>
        <w:t>（3）不得收受响应供应商或有关人员的任何礼物，不得串联鼓动其他人袒护某供应商。若与供应商存在利害关系，则应主动声明并回避。</w:t>
      </w:r>
    </w:p>
    <w:p>
      <w:pPr>
        <w:ind w:firstLine="480"/>
      </w:pPr>
      <w:r>
        <w:rPr/>
        <w:t>（4）全体评委应按照磋商文件规定进行评审，一切认定事项应查有实据且不得弄虚作假。</w:t>
      </w:r>
    </w:p>
    <w:p>
      <w:pPr>
        <w:ind w:firstLine="480"/>
      </w:pPr>
      <w:r>
        <w:rPr/>
        <w:t>（5）磋商小组各成员应当独立对每个响应供应商的响应文件进行评价，并对评价意见承担个人责任。评审过程中，不得发表倾向性言论。</w:t>
      </w:r>
    </w:p>
    <w:p>
      <w:pPr>
        <w:ind w:firstLine="480"/>
      </w:pPr>
      <w:r>
        <w:rPr/>
        <w:t>※对违反评审纪律的评委，将取消其评委资格，对评审工作造成严重损失者将予以通报批评乃至追究法律责任。</w:t>
      </w:r>
    </w:p>
    <w:p>
      <w:r>
        <w:rPr>
          <w:b/>
          <w:sz w:val="24"/>
        </w:rPr>
        <w:t>4.有下列情形之一的，视为供应商串通响应，其响应无效</w:t>
      </w:r>
    </w:p>
    <w:p>
      <w:pPr>
        <w:ind w:firstLine="480"/>
      </w:pPr>
      <w:r>
        <w:rPr/>
        <w:t>4.1不同供应商的响应文件由同一单位或者个人编制；</w:t>
      </w:r>
    </w:p>
    <w:p>
      <w:pPr>
        <w:ind w:firstLine="480"/>
      </w:pPr>
      <w:r>
        <w:rPr/>
        <w:t>4.2不同供应商委托同一单位或者个人办理响应事宜；</w:t>
      </w:r>
    </w:p>
    <w:p>
      <w:pPr>
        <w:ind w:firstLine="480"/>
      </w:pPr>
      <w:r>
        <w:rPr/>
        <w:t>4.3不同供应商的响应文件载明的项目管理成员或者联系人员为同一人；</w:t>
      </w:r>
    </w:p>
    <w:p>
      <w:pPr>
        <w:ind w:firstLine="480"/>
      </w:pPr>
      <w:r>
        <w:rPr/>
        <w:t>4.4不同供应商的响应文件异常一致或者响应报价呈规律性差异；</w:t>
      </w:r>
    </w:p>
    <w:p>
      <w:pPr>
        <w:ind w:firstLine="480"/>
      </w:pPr>
      <w:r>
        <w:rPr/>
        <w:t>4.5不同供应商的响应文件相互混装；</w:t>
      </w:r>
    </w:p>
    <w:p>
      <w:pPr>
        <w:ind w:firstLine="480"/>
      </w:pPr>
      <w:r>
        <w:rPr/>
        <w:t>4.6不同供应商的响应保证金或购买电子保函支付款为从同一单位或个人的账户转出。</w:t>
      </w:r>
    </w:p>
    <w:p>
      <w:pPr>
        <w:ind w:firstLine="480"/>
      </w:pPr>
      <w:r>
        <w:rPr/>
        <w:t>4.7供应商上传的电子响应文件使用该项目其他响应供应商的数字证书加密的或加盖该项目的其他响应供应商的电子印章的。</w:t>
      </w:r>
    </w:p>
    <w:p>
      <w:pPr>
        <w:ind w:firstLine="480"/>
      </w:pPr>
      <w:r>
        <w:rPr/>
        <w:t xml:space="preserve"> 说明：在评审过程中发现供应商有上述情形的，磋商小组应当认定其响应无效。同时，项目评审时被认定为串通响应的供应商不得参加该合同项下的采购活动。</w:t>
      </w:r>
    </w:p>
    <w:p>
      <w:r>
        <w:rPr>
          <w:b/>
          <w:sz w:val="24"/>
        </w:rPr>
        <w:t>5.有下列情形之一的，属于恶意串通响应：</w:t>
      </w:r>
    </w:p>
    <w:p>
      <w:pPr>
        <w:ind w:firstLine="480"/>
      </w:pPr>
      <w:r>
        <w:rPr/>
        <w:t>（1）供应商直接或者间接从采购人或者采购代理机构处获得其他供应商的相关情况并修改其响应文件；</w:t>
      </w:r>
    </w:p>
    <w:p>
      <w:pPr>
        <w:ind w:firstLine="480"/>
      </w:pPr>
      <w:r>
        <w:rPr/>
        <w:t>（2）供应商按照采购人或者采购代理机构的授意撤换、修改响应文件；</w:t>
      </w:r>
    </w:p>
    <w:p>
      <w:pPr>
        <w:ind w:firstLine="480"/>
      </w:pPr>
      <w:r>
        <w:rPr/>
        <w:t>（3）供应商之间协商报价、技术方案等响应文件的实质性内容；</w:t>
      </w:r>
    </w:p>
    <w:p>
      <w:pPr>
        <w:ind w:firstLine="480"/>
      </w:pPr>
      <w:r>
        <w:rPr/>
        <w:t>（4）属于同一集团、协会、商会等组织成员的供应商按照该组织要求协同参加政府采购活动；</w:t>
      </w:r>
    </w:p>
    <w:p>
      <w:pPr>
        <w:ind w:firstLine="480"/>
      </w:pPr>
      <w:r>
        <w:rPr/>
        <w:t>（5）供应商之间事先约定由某一特定供应商成交；</w:t>
      </w:r>
    </w:p>
    <w:p>
      <w:pPr>
        <w:ind w:firstLine="480"/>
      </w:pPr>
      <w:r>
        <w:rPr/>
        <w:t>（6）供应商之间商定部分供应商放弃参加政府采购活动或者放弃成交；</w:t>
      </w:r>
    </w:p>
    <w:p>
      <w:pPr>
        <w:ind w:firstLine="480"/>
      </w:pPr>
      <w:r>
        <w:rPr/>
        <w:t>（7）供应商与采购人或者采购代理机构之间、供应商相互之间，为谋求特定供应商成交或者排斥其他供应商的其他串通行为。</w:t>
      </w:r>
    </w:p>
    <w:p>
      <w:r>
        <w:rPr>
          <w:b/>
          <w:sz w:val="24"/>
        </w:rPr>
        <w:t>6.其他响应无效的情形</w:t>
      </w:r>
    </w:p>
    <w:p>
      <w:pPr>
        <w:ind w:firstLine="480"/>
      </w:pPr>
      <w:r>
        <w:rPr/>
        <w:t>详见资格性审查、符合性审查和磋商文件其他响应无效条款。</w:t>
      </w:r>
    </w:p>
    <w:p>
      <w:r>
        <w:rPr>
          <w:b/>
          <w:sz w:val="24"/>
        </w:rPr>
        <w:t>7.终止竞争性磋商采购活动的情形</w:t>
      </w:r>
    </w:p>
    <w:p>
      <w:pPr>
        <w:ind w:firstLine="480"/>
      </w:pPr>
      <w:r>
        <w:rPr/>
        <w:t>出现下列情形之一的，采购人或者采购代理机构应当终止竞争性磋商采购活动，发布项目终止公告并说明原因，重新开展采购活动：</w:t>
      </w:r>
    </w:p>
    <w:p>
      <w:pPr>
        <w:ind w:firstLine="480"/>
      </w:pPr>
      <w:r>
        <w:rPr/>
        <w:t>（1）因情况变化，不再符合规定的竞争性磋商采购方式适用情形的；</w:t>
      </w:r>
    </w:p>
    <w:p>
      <w:pPr>
        <w:ind w:firstLine="480"/>
      </w:pPr>
      <w:r>
        <w:rPr/>
        <w:t>（2）出现影响采购公正的违法、违规行为的；</w:t>
      </w:r>
    </w:p>
    <w:p>
      <w:pPr>
        <w:ind w:firstLine="480"/>
      </w:pPr>
      <w:r>
        <w:rPr/>
        <w:t>（3）除《政府采购竞争性磋商采购方式暂行办法》第二十一条第三款，《财政部关于政府采购竞争性磋商采购方式管理暂行办法有关问题的补充通知》（财库〔2015〕124号）规定的情形外，在采购过程中符合要求的供应商或者报价未超过采购预算的供应商不足3家的；</w:t>
      </w:r>
    </w:p>
    <w:p>
      <w:pPr>
        <w:ind w:firstLine="480"/>
      </w:pPr>
      <w:r>
        <w:rPr/>
        <w:t>（4）法律、法规以及磋商文件规定其他情形。</w:t>
      </w:r>
    </w:p>
    <w:p>
      <w:r>
        <w:rPr>
          <w:b/>
          <w:sz w:val="24"/>
        </w:rPr>
        <w:t>8.确定成交供应商</w:t>
      </w:r>
    </w:p>
    <w:p>
      <w:pPr>
        <w:ind w:firstLine="480"/>
      </w:pPr>
      <w:r>
        <w:rPr/>
        <w:t>磋商小组按照磋商文件确定的评审方法、步骤、标准，对响应文件进行评审。评审结束后，对供应商的评审名次进行排序，确定成交供应商或者推荐成交候选供应商。</w:t>
      </w:r>
    </w:p>
    <w:p>
      <w:r>
        <w:rPr>
          <w:b/>
          <w:sz w:val="24"/>
        </w:rPr>
        <w:t>9.价格修正</w:t>
      </w:r>
    </w:p>
    <w:p>
      <w:pPr>
        <w:ind w:firstLine="480"/>
      </w:pPr>
      <w:r>
        <w:rPr/>
        <w:t>对报价的计算错误按以下原则修正：</w:t>
      </w:r>
    </w:p>
    <w:p>
      <w:pPr>
        <w:ind w:firstLine="480"/>
      </w:pPr>
      <w:r>
        <w:rPr/>
        <w:t>（1）响应文件中首轮报价表（报价表）内容与响应文件中相应内容不一致的，以首轮报价表（报价表）为准；</w:t>
      </w:r>
    </w:p>
    <w:p>
      <w:pPr>
        <w:ind w:firstLine="480"/>
      </w:pPr>
      <w:r>
        <w:rPr/>
        <w:t>（2）大写金额和小写金额不一致的，以大写金额为准；</w:t>
      </w:r>
    </w:p>
    <w:p>
      <w:pPr>
        <w:ind w:firstLine="480"/>
      </w:pPr>
      <w:r>
        <w:rPr/>
        <w:t>（3）单价金额小数点或者百分比有明显错位的，以首轮报价表的总价为准，并修改单价；</w:t>
      </w:r>
    </w:p>
    <w:p>
      <w:pPr>
        <w:ind w:firstLine="480"/>
      </w:pPr>
      <w:r>
        <w:rPr/>
        <w:t>（4）总价金额与按单价汇总金额不一致的，以单价金额计算结果为准。但是单价金额计算结果超过预算价的，对其按无效响应处理；</w:t>
      </w:r>
    </w:p>
    <w:p>
      <w:pPr>
        <w:ind w:firstLine="480"/>
      </w:pPr>
      <w:r>
        <w:rPr/>
        <w:t>（5）若投标客户端上传的电子报价数据与电子响应文件价格不一致的，以电子报价数据为准。</w:t>
      </w:r>
    </w:p>
    <w:p>
      <w:pPr>
        <w:ind w:firstLine="480"/>
      </w:pPr>
      <w:r>
        <w:rPr/>
        <w:t>注：同时出现两种以上不一致的，按照前款规定的顺序在系统上进行价格澄清。供应商澄清后的价格加盖电子印章确认后产生约束力，但不得超出响应文件的范围或者改变响应文件的实质性内容，供应商不确认的，其响应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采购的产品属于品目清单范围的，将依据国家确定的认证机构出具的、处于有效期之内的节能产品、环境标志产品认证证书，对获得证书的产品实施政府优先采购或强制采购，具体按照本磋商文件相关要求执行。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采购包1（佛山市教育数据银行数据处理服务（2023-2025年）项目）：</w:t>
      </w:r>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节能、环保产品</w:t>
            </w:r>
          </w:p>
        </w:tc>
        <w:tc>
          <w:tcPr>
            <w:tcW w:type="dxa" w:w="2160"/>
          </w:tcPr>
          <w:p>
            <w:r>
              <w:rPr/>
              <w:t>——</w:t>
            </w:r>
          </w:p>
        </w:tc>
        <w:tc>
          <w:tcPr>
            <w:tcW w:type="dxa" w:w="1246"/>
          </w:tcPr>
          <w:p>
            <w:r>
              <w:rPr/>
              <w:t>5%</w:t>
            </w:r>
          </w:p>
        </w:tc>
        <w:tc>
          <w:tcPr>
            <w:tcW w:type="dxa" w:w="2160"/>
          </w:tcPr>
          <w:p>
            <w:pPr>
              <w:jc w:val="left"/>
            </w:pPr>
            <w:r>
              <w:rPr/>
              <w:t>对获得节能产品认证证书或环境标志产品认证证书的产品给予1%-5%的价格扣除，具体扣除比例根据节能产品或环境标志产品在采购项目中的重要性、所占比重等因素确定。</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符合中小企业划分标准的个体工商户，在政府采购活动中视同中小企业。提供本企业制造的货物或者提供其他小型或微型企业制造的货物。</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供应商应填写《中小企业声明函》；监狱企业须供应商提供由监狱管理局、戒毒管理局（含新疆生产建设兵团）出具的属于监狱企业的证明文件；残疾人福利性单位应填写《残疾人福利性单位声明函》，否则不认定价格扣除。</w:t>
      </w:r>
    </w:p>
    <w:p>
      <w:pPr>
        <w:ind w:firstLine="480"/>
      </w:pPr>
      <w:r>
        <w:rPr/>
        <w:t>说明：供应商应当对其出具的《中小企业声明函》真实性负责，供应商出具的《中小企业声明函》内容不实的，属于提供虚假材料谋取成交。</w:t>
      </w:r>
    </w:p>
    <w:p>
      <w:pPr>
        <w:ind w:firstLine="480"/>
      </w:pPr>
      <w:r>
        <w:rPr/>
        <w:t>（3）联合体各方均为小型、微型企业的，各方均应提供《中小企业声明函》；中小微企业作为联合体一方参与政府采购活动，且联合体协议书中约定，小型、微型企业的协议合同金额占到联合体协议合同总金额30%以上的，应附中小微企业的《中小企业声明函》。</w:t>
      </w:r>
    </w:p>
    <w:p>
      <w:r>
        <w:rPr>
          <w:b/>
          <w:sz w:val="28"/>
        </w:rPr>
        <w:t>三、评审程序</w:t>
      </w:r>
    </w:p>
    <w:p>
      <w:r>
        <w:rPr>
          <w:b/>
          <w:sz w:val="24"/>
        </w:rPr>
        <w:t>1.资格性审查和符合性审查</w:t>
      </w:r>
    </w:p>
    <w:p>
      <w:pPr>
        <w:ind w:firstLine="480"/>
      </w:pPr>
      <w:r>
        <w:rPr/>
        <w:t>磋商小组根据《资格性审查表》（附表一）和《符合性审查表》（附表二）的内容逐条对响应文件进行评审，审查每份响应文件的相关资格证明文件是否齐全有效。审查每份响应文件是否实质上响应了磋商文件的要求，只要不满足《资格性审查表》和《符合性审查表》所列各项要求之一的，将被认定为无效响应。对响应有效性认定意见不一致的，磋商小组按少数服从多数原则表决决定。</w:t>
      </w:r>
    </w:p>
    <w:p>
      <w:pPr>
        <w:ind w:firstLine="480"/>
      </w:pPr>
      <w:r>
        <w:rPr/>
        <w:t>磋商小组对各磋商供应商进行资格性和符合性审查过程中，对初步被认定为初审不合格或无效响应者应实行及时告知，由磋商小组组长或采购人代表将集体意见及时告知报价当事人。</w:t>
      </w:r>
    </w:p>
    <w:p>
      <w:pPr>
        <w:ind w:firstLine="480"/>
      </w:pPr>
      <w:r>
        <w:rPr/>
        <w:t>表一资格性审查表：</w:t>
      </w:r>
    </w:p>
    <w:p>
      <w:pPr>
        <w:ind w:firstLine="480"/>
      </w:pPr>
    </w:p>
    <w:p/>
    <w:p>
      <w:r>
        <w:rPr/>
        <w:t>采购包1（佛山市教育数据银行数据处理服务（2023-2025年）项目）：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1、提供《政府采购供应商资格信用承诺函》（承诺函格式见采购公告附件）；2、提供投标截止日前6个月内任意1个月依法缴纳税收和社会保障资金的相关材料（如依法免税或不需要缴纳社会保障资金的，提供相应证明材料）</w:t>
            </w:r>
          </w:p>
        </w:tc>
      </w:tr>
      <w:tr>
        <w:tc>
          <w:tcPr>
            <w:tcW w:type="dxa" w:w="890"/>
          </w:tcPr>
          <w:p>
            <w:r>
              <w:rPr/>
              <w:t>3</w:t>
            </w:r>
          </w:p>
        </w:tc>
        <w:tc>
          <w:tcPr>
            <w:tcW w:type="dxa" w:w="3178"/>
          </w:tcPr>
          <w:p>
            <w:r>
              <w:rPr/>
              <w:t>具有良好的商业信誉和健全的财务会计制度</w:t>
            </w:r>
          </w:p>
        </w:tc>
        <w:tc>
          <w:tcPr>
            <w:tcW w:type="dxa" w:w="4238"/>
          </w:tcPr>
          <w:p>
            <w:r>
              <w:rPr/>
              <w:t>供应商必须具有良好的商业信誉和健全的财务会计制度【提供以下四种证明材料之一：1、提供《政府采购供应商资格信用承诺函》（承诺函格式见采购公告附件）；2、提供2021（或2022）年度财务状况报告；3、提供投标截止日前6个月内基本开户行出具的资信证明，并同时提交开户（基本户）许可证扫描件，开户（基本户）许可证已取消的，应提供能体现基本开户银行的“基本存款账户编号”的相关证明；4、财政部门认可的政府采购专业担保机构出具的投标担保函】 。</w:t>
            </w:r>
          </w:p>
        </w:tc>
      </w:tr>
      <w:tr>
        <w:tc>
          <w:tcPr>
            <w:tcW w:type="dxa" w:w="890"/>
          </w:tcPr>
          <w:p>
            <w:r>
              <w:rPr/>
              <w:t>4</w:t>
            </w:r>
          </w:p>
        </w:tc>
        <w:tc>
          <w:tcPr>
            <w:tcW w:type="dxa" w:w="3178"/>
          </w:tcPr>
          <w:p>
            <w:r>
              <w:rPr/>
              <w:t>履行合同所必需的设备和专业技术能力</w:t>
            </w:r>
          </w:p>
        </w:tc>
        <w:tc>
          <w:tcPr>
            <w:tcW w:type="dxa" w:w="4238"/>
          </w:tcPr>
          <w:p>
            <w:r>
              <w:rPr/>
              <w:t>按投标（响应）文件格式填报设备及专业技术能力情况。</w:t>
            </w:r>
          </w:p>
        </w:tc>
      </w:tr>
      <w:tr>
        <w:tc>
          <w:tcPr>
            <w:tcW w:type="dxa" w:w="890"/>
          </w:tcPr>
          <w:p>
            <w:r>
              <w:rPr/>
              <w:t>5</w:t>
            </w:r>
          </w:p>
        </w:tc>
        <w:tc>
          <w:tcPr>
            <w:tcW w:type="dxa" w:w="3178"/>
          </w:tcPr>
          <w:p>
            <w:r>
              <w:rPr/>
              <w:t>参加采购活动前3年内，在经营活动中没有重大违法记录</w:t>
            </w:r>
          </w:p>
        </w:tc>
        <w:tc>
          <w:tcPr>
            <w:tcW w:type="dxa" w:w="4238"/>
          </w:tcPr>
          <w:p>
            <w:r>
              <w:rPr/>
              <w:t>参照投标（报价）函相关承诺格式内容或提供《政府采购供应商资格信用承诺函》（承诺函格式见采购公告附件）。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或重大税收违法案件当事人名单（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tc>
      </w:tr>
      <w:tr>
        <w:tc>
          <w:tcPr>
            <w:tcW w:type="dxa" w:w="890"/>
          </w:tcPr>
          <w:p>
            <w:r>
              <w:rPr/>
              <w:t>8</w:t>
            </w:r>
          </w:p>
        </w:tc>
        <w:tc>
          <w:tcPr>
            <w:tcW w:type="dxa" w:w="3178"/>
          </w:tcPr>
          <w:p>
            <w:r>
              <w:rPr/>
              <w:t>本项目不接受联合体响应</w:t>
            </w:r>
          </w:p>
        </w:tc>
        <w:tc>
          <w:tcPr>
            <w:tcW w:type="dxa" w:w="4238"/>
          </w:tcPr>
          <w:p>
            <w:r>
              <w:rPr/>
              <w:t>本项目不接受联合体响应。</w:t>
            </w:r>
          </w:p>
        </w:tc>
      </w:tr>
      <w:tr>
        <w:tc>
          <w:tcPr>
            <w:tcW w:type="dxa" w:w="890"/>
          </w:tcPr>
          <w:p>
            <w:r>
              <w:rPr/>
              <w:t>9</w:t>
            </w:r>
          </w:p>
        </w:tc>
        <w:tc>
          <w:tcPr>
            <w:tcW w:type="dxa" w:w="3178"/>
          </w:tcPr>
          <w:p>
            <w:r>
              <w:rPr/>
              <w:t>本采购包专门面向中小企业采购</w:t>
            </w:r>
          </w:p>
        </w:tc>
        <w:tc>
          <w:tcPr>
            <w:tcW w:type="dxa" w:w="4238"/>
          </w:tcPr>
          <w:p>
            <w:r>
              <w:rPr/>
              <w:t>（采购包整体专门面向中小企业）参与的供应商服务全部由符合政策要求的中小企业承接：服务由中小企业承接，即提供服务的人员为中小企业依照《中华人民共和国劳动合同法》订立劳动合同的从业人员。【注：中小企业以供应商填写的《中小企业声明函》为判定标准，残疾人福利性单位以供应商填写的《残疾人福利性单位声明函》为判定标准，监狱企业须供应商提供由省级以上监狱管理局、戒毒管理局（含新疆生产建设兵团）出具的属于监狱企业的证明文件，否则不予认定。监狱企业、残疾人福利性单位视同小型、微型企业。】</w:t>
            </w:r>
          </w:p>
        </w:tc>
      </w:tr>
    </w:tbl>
    <w:p/>
    <w:p>
      <w:pPr>
        <w:ind w:firstLine="480"/>
      </w:pPr>
      <w:r>
        <w:rPr/>
        <w:t>表二符合性审查表：</w:t>
      </w:r>
    </w:p>
    <w:p>
      <w:pPr>
        <w:ind w:firstLine="480"/>
      </w:pPr>
    </w:p>
    <w:p/>
    <w:p>
      <w:r>
        <w:rPr/>
        <w:t>采购包1（佛山市教育数据银行数据处理服务（2023-2025年）项目）：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投标（响应）保证金（如有）</w:t>
            </w:r>
          </w:p>
        </w:tc>
        <w:tc>
          <w:tcPr>
            <w:tcW w:type="dxa" w:w="4238"/>
          </w:tcPr>
          <w:p>
            <w:r>
              <w:rPr/>
              <w:t>已按招标文件要求缴纳本项目投标保证金（如有）。</w:t>
            </w:r>
          </w:p>
        </w:tc>
      </w:tr>
      <w:tr>
        <w:tc>
          <w:tcPr>
            <w:tcW w:type="dxa" w:w="890"/>
          </w:tcPr>
          <w:p>
            <w:r>
              <w:rPr/>
              <w:t>2</w:t>
            </w:r>
          </w:p>
        </w:tc>
        <w:tc>
          <w:tcPr>
            <w:tcW w:type="dxa" w:w="3178"/>
          </w:tcPr>
          <w:p>
            <w:r>
              <w:rPr/>
              <w:t>投标（响应）报价</w:t>
            </w:r>
          </w:p>
        </w:tc>
        <w:tc>
          <w:tcPr>
            <w:tcW w:type="dxa" w:w="4238"/>
          </w:tcPr>
          <w:p>
            <w:r>
              <w:rPr/>
              <w:t>报价没有超出本项目采购预算和最高限价（如有），报价方案是唯一确定。</w:t>
            </w:r>
          </w:p>
        </w:tc>
      </w:tr>
      <w:tr>
        <w:tc>
          <w:tcPr>
            <w:tcW w:type="dxa" w:w="890"/>
          </w:tcPr>
          <w:p>
            <w:r>
              <w:rPr/>
              <w:t>3</w:t>
            </w:r>
          </w:p>
        </w:tc>
        <w:tc>
          <w:tcPr>
            <w:tcW w:type="dxa" w:w="3178"/>
          </w:tcPr>
          <w:p>
            <w:r>
              <w:rPr/>
              <w:t>《投标函》或《响应承诺函》或《协商承诺书》</w:t>
            </w:r>
          </w:p>
        </w:tc>
        <w:tc>
          <w:tcPr>
            <w:tcW w:type="dxa" w:w="4238"/>
          </w:tcPr>
          <w:p>
            <w:r>
              <w:rPr/>
              <w:t>已按招标（采购）文件格式填写《投标函》或《响应承诺函》或《协商承诺书》，并按要求签名和/或盖章。</w:t>
            </w:r>
          </w:p>
        </w:tc>
      </w:tr>
      <w:tr>
        <w:tc>
          <w:tcPr>
            <w:tcW w:type="dxa" w:w="890"/>
          </w:tcPr>
          <w:p>
            <w:r>
              <w:rPr/>
              <w:t>4</w:t>
            </w:r>
          </w:p>
        </w:tc>
        <w:tc>
          <w:tcPr>
            <w:tcW w:type="dxa" w:w="3178"/>
          </w:tcPr>
          <w:p>
            <w:r>
              <w:rPr/>
              <w:t>投标（响应）文件有效盖章和/或签署</w:t>
            </w:r>
          </w:p>
        </w:tc>
        <w:tc>
          <w:tcPr>
            <w:tcW w:type="dxa" w:w="4238"/>
          </w:tcPr>
          <w:p>
            <w:r>
              <w:rPr/>
              <w:t>投标（响应）文件已按招标（采购）文件要求作出有效盖章和/或签署。</w:t>
            </w:r>
          </w:p>
        </w:tc>
      </w:tr>
      <w:tr>
        <w:tc>
          <w:tcPr>
            <w:tcW w:type="dxa" w:w="890"/>
          </w:tcPr>
          <w:p>
            <w:r>
              <w:rPr/>
              <w:t>5</w:t>
            </w:r>
          </w:p>
        </w:tc>
        <w:tc>
          <w:tcPr>
            <w:tcW w:type="dxa" w:w="3178"/>
          </w:tcPr>
          <w:p>
            <w:r>
              <w:rPr/>
              <w:t>投标（响应）文件有效授权</w:t>
            </w:r>
          </w:p>
        </w:tc>
        <w:tc>
          <w:tcPr>
            <w:tcW w:type="dxa" w:w="4238"/>
          </w:tcPr>
          <w:p>
            <w:r>
              <w:rPr/>
              <w:t>投标（响应）文件已有法定代表人(负责人)签字（提供法定代表人身份证明）或签字人已有法定代表人(负责人)有效授权（提供法定代表人身份证明及法定代表人授权委托书）。</w:t>
            </w:r>
          </w:p>
        </w:tc>
      </w:tr>
      <w:tr>
        <w:tc>
          <w:tcPr>
            <w:tcW w:type="dxa" w:w="890"/>
          </w:tcPr>
          <w:p>
            <w:r>
              <w:rPr/>
              <w:t>6</w:t>
            </w:r>
          </w:p>
        </w:tc>
        <w:tc>
          <w:tcPr>
            <w:tcW w:type="dxa" w:w="3178"/>
          </w:tcPr>
          <w:p>
            <w:r>
              <w:rPr/>
              <w:t>投标（响应）报价有效期</w:t>
            </w:r>
          </w:p>
        </w:tc>
        <w:tc>
          <w:tcPr>
            <w:tcW w:type="dxa" w:w="4238"/>
          </w:tcPr>
          <w:p>
            <w:r>
              <w:rPr/>
              <w:t>报价有效期为90个日历日。</w:t>
            </w:r>
          </w:p>
        </w:tc>
      </w:tr>
      <w:tr>
        <w:tc>
          <w:tcPr>
            <w:tcW w:type="dxa" w:w="890"/>
          </w:tcPr>
          <w:p>
            <w:r>
              <w:rPr/>
              <w:t>7</w:t>
            </w:r>
          </w:p>
        </w:tc>
        <w:tc>
          <w:tcPr>
            <w:tcW w:type="dxa" w:w="3178"/>
          </w:tcPr>
          <w:p>
            <w:r>
              <w:rPr/>
              <w:t>实质性响应（如有）</w:t>
            </w:r>
          </w:p>
        </w:tc>
        <w:tc>
          <w:tcPr>
            <w:tcW w:type="dxa" w:w="4238"/>
          </w:tcPr>
          <w:p>
            <w:r>
              <w:rPr/>
              <w:t>完全响应（满足）采购文件采购需求实质性条款（带“★”号条款）。</w:t>
            </w:r>
          </w:p>
        </w:tc>
      </w:tr>
      <w:tr>
        <w:tc>
          <w:tcPr>
            <w:tcW w:type="dxa" w:w="890"/>
          </w:tcPr>
          <w:p>
            <w:r>
              <w:rPr/>
              <w:t>8</w:t>
            </w:r>
          </w:p>
        </w:tc>
        <w:tc>
          <w:tcPr>
            <w:tcW w:type="dxa" w:w="3178"/>
          </w:tcPr>
          <w:p>
            <w:r>
              <w:rPr/>
              <w:t>其他被评定为无效的情况</w:t>
            </w:r>
          </w:p>
        </w:tc>
        <w:tc>
          <w:tcPr>
            <w:tcW w:type="dxa" w:w="4238"/>
          </w:tcPr>
          <w:p>
            <w:r>
              <w:rPr/>
              <w:t>没有发现采购文件规定的其他被评定为无效的情况。</w:t>
            </w:r>
          </w:p>
        </w:tc>
      </w:tr>
    </w:tbl>
    <w:p/>
    <w:p>
      <w:r>
        <w:rPr>
          <w:b/>
          <w:sz w:val="24"/>
        </w:rPr>
        <w:t>2.响应文件澄清</w:t>
      </w:r>
    </w:p>
    <w:p>
      <w:pPr>
        <w:ind w:firstLine="480"/>
      </w:pPr>
      <w:r>
        <w:rPr/>
        <w:t>2.1对于响应文件中含义不明确、同类问题表述不一致或者有明显文字和计算错误的内容，磋商小组可在评审过程中发起在线澄清，要求供应商针对价格或内容做出必要的澄清、说明或补正。代理机构可根据开启环节记录的</w:t>
      </w:r>
      <w:r>
        <w:rPr>
          <w:b/>
        </w:rPr>
        <w:t>授权代表人联系方式</w:t>
      </w:r>
      <w:r>
        <w:rPr/>
        <w:t>发送短信提醒或电话告知。</w:t>
      </w:r>
    </w:p>
    <w:p>
      <w:pPr>
        <w:ind w:firstLine="480"/>
      </w:pPr>
      <w:r>
        <w:rPr/>
        <w:t>供应商需登录广东政府采购智慧云平台项目采购系统的等候大厅，在规定时间内完成澄清（响应），并加盖电子印章。</w:t>
      </w:r>
    </w:p>
    <w:p>
      <w:pPr>
        <w:ind w:firstLine="480"/>
      </w:pPr>
      <w:r>
        <w:rPr/>
        <w:t>若因供应商联系方式错误未接收短信、未接听电话或超时未进行澄清（响应）造成的不利后果由供应商自行承担。供应商的澄清、说明或者补正不得超出响应文件的范围或者改变响应文件的实质性内容。</w:t>
      </w:r>
    </w:p>
    <w:p>
      <w:pPr>
        <w:ind w:firstLine="480"/>
      </w:pPr>
      <w:r>
        <w:rPr/>
        <w:t>2.2磋商小组不接受供应商主动提出的澄清、说明或补正。</w:t>
      </w:r>
    </w:p>
    <w:p>
      <w:pPr>
        <w:ind w:firstLine="480"/>
      </w:pPr>
      <w:r>
        <w:rPr/>
        <w:t>2.3磋商小组对供应商提交的澄清、说明或补正有疑问的，可以要求供应商进一步澄清、说明或补正。</w:t>
      </w:r>
    </w:p>
    <w:p>
      <w:r>
        <w:rPr>
          <w:b/>
          <w:sz w:val="24"/>
        </w:rPr>
        <w:t>3.磋商</w:t>
      </w:r>
    </w:p>
    <w:p>
      <w:pPr>
        <w:ind w:firstLine="480"/>
      </w:pPr>
      <w:r>
        <w:rPr/>
        <w:t>3.1磋商小组所有成员应当集中与单一供应商分别进行磋商，并给予所有参加磋商的供应商平等的磋商机会。</w:t>
      </w:r>
    </w:p>
    <w:p>
      <w:pPr>
        <w:ind w:firstLine="480"/>
      </w:pPr>
      <w:r>
        <w:rPr/>
        <w:t>3.2在磋商过程中，磋商小组可以根据磋商文件和磋商情况实质性变动采购需求中的技术、服务要求以及合同草案条款，但不得变动磋商文件中的其他内容。实质性变动的内容，须经采购人代表确认。</w:t>
      </w:r>
    </w:p>
    <w:p>
      <w:pPr>
        <w:ind w:firstLine="480"/>
      </w:pPr>
      <w:r>
        <w:rPr/>
        <w:t>3.3对磋商文件作出的实质性变动是磋商文件的有效组成部分，磋商小组应当及时、同时通知所有参加磋商的供应商。</w:t>
      </w:r>
    </w:p>
    <w:p>
      <w:pPr>
        <w:ind w:firstLine="480"/>
      </w:pPr>
      <w:r>
        <w:rPr/>
        <w:t>3.4供应商应当按照磋商文件的变动情况和磋商小组的要求进行最终报价或重新提交响应文件，并由其法定代表人或授权代表签字或者加盖公章。由授权代表签字的，应当附法定代表人授权书。供应商为自然人的，应当由本人签字并附身份证明。</w:t>
      </w:r>
    </w:p>
    <w:p>
      <w:r>
        <w:rPr>
          <w:b/>
          <w:sz w:val="24"/>
        </w:rPr>
        <w:t>4.最后报价</w:t>
      </w:r>
    </w:p>
    <w:p>
      <w:pPr>
        <w:ind w:firstLine="480"/>
      </w:pPr>
      <w:r>
        <w:rPr/>
        <w:t>4.1磋商结束后，磋商小组应当要求所有实质性响应的供应商在规定时间内提交最后报价。最后报价是供应商响应文件的有效组成部分。</w:t>
      </w:r>
    </w:p>
    <w:p>
      <w:pPr>
        <w:ind w:firstLine="480"/>
      </w:pPr>
      <w:r>
        <w:rPr/>
        <w:t>4.2已提交响应文件的供应商，在提交最后报价之前，可以根据磋商情况退出磋商。</w:t>
      </w:r>
    </w:p>
    <w:p>
      <w:pPr>
        <w:ind w:firstLine="480"/>
      </w:pPr>
      <w:r>
        <w:rPr/>
        <w:t>4.3除法规规定的特殊性情形外，提交最后报价的供应商不得少于3家。</w:t>
      </w:r>
    </w:p>
    <w:p>
      <w:r>
        <w:rPr>
          <w:b/>
          <w:sz w:val="24"/>
        </w:rPr>
        <w:t>5.详细评审</w:t>
      </w:r>
    </w:p>
    <w:p>
      <w:pPr>
        <w:ind w:firstLine="480"/>
      </w:pPr>
    </w:p>
    <w:p/>
    <w:p/>
    <w:p>
      <w:r>
        <w:rPr/>
        <w:t>采购包1(佛山市教育数据银行数据处理服务（2023-2025年）项目):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商务部分40.0分</w:t>
            </w:r>
          </w:p>
          <w:p>
            <w:r>
              <w:rPr/>
              <w:t>技术部分50.0分</w:t>
            </w:r>
          </w:p>
          <w:p>
            <w:r>
              <w:rPr/>
              <w:t>报价得分10.0分</w:t>
            </w:r>
          </w:p>
        </w:tc>
      </w:tr>
      <w:tr>
        <w:tc>
          <w:tcPr>
            <w:tcW w:type="dxa" w:w="922"/>
            <w:gridSpan w:val="2"/>
            <w:vMerge w:val="restart"/>
          </w:tcPr>
          <w:p>
            <w:pPr>
              <w:jc w:val="center"/>
            </w:pPr>
            <w:r>
              <w:rPr/>
              <w:t>技术部分</w:t>
            </w:r>
          </w:p>
        </w:tc>
        <w:tc>
          <w:tcPr>
            <w:tcW w:type="dxa" w:w="2307"/>
          </w:tcPr>
          <w:p>
            <w:pPr>
              <w:jc w:val="left"/>
            </w:pPr>
            <w:r>
              <w:rPr/>
              <w:t>项目总体方案 (10.0分)</w:t>
            </w:r>
            <w:r>
              <w:rPr/>
              <w:t>，（等次分值选择：</w:t>
            </w:r>
            <w:r>
              <w:rPr/>
              <w:t>0.0;</w:t>
            </w:r>
            <w:r>
              <w:rPr/>
              <w:t>2.0;</w:t>
            </w:r>
            <w:r>
              <w:rPr/>
              <w:t>5.0;</w:t>
            </w:r>
            <w:r>
              <w:rPr/>
              <w:t>10.0;</w:t>
            </w:r>
            <w:r>
              <w:rPr/>
              <w:t>）</w:t>
            </w:r>
          </w:p>
        </w:tc>
        <w:tc>
          <w:tcPr>
            <w:tcW w:type="dxa" w:w="5076"/>
          </w:tcPr>
          <w:p>
            <w:pPr>
              <w:jc w:val="left"/>
            </w:pPr>
            <w:r>
              <w:rPr/>
              <w:t>对项目总体方案是否满足项目业务需求，项目服务方案设计是否全面、合理、实用性强，阐述是否清楚，是否同时充分考虑和前期建设的衔接性、对各个系统之间接口设计的理解等进行综合评价： 1、对采购人采购需求理解全面、深入，项目服务方案设计全面、合理、实用性强，阐述透彻、详尽，和前期建设的衔接性强、对各个系统之间接口设计能深入理解的得10分； 2、对采购人采购需求理解准确，项目服务方案设计有一定的分析，和前期建设的衔接性一般、未能准确了解各个系统之间接口设计的得5分； 3、对采购人采购需求理解存在错误或缺漏，项目的方案设计、项目运维阐述有基本的分析，和前期建设的衔接性不足的得2分； 注：不提供不得分。</w:t>
            </w:r>
          </w:p>
        </w:tc>
      </w:tr>
      <w:tr>
        <w:tc>
          <w:tcPr>
            <w:tcW w:type="dxa" w:w="922"/>
            <w:gridSpan w:val="2"/>
            <w:vMerge/>
          </w:tcPr>
          <w:p/>
        </w:tc>
        <w:tc>
          <w:tcPr>
            <w:tcW w:type="dxa" w:w="2307"/>
          </w:tcPr>
          <w:p>
            <w:pPr>
              <w:jc w:val="left"/>
            </w:pPr>
            <w:r>
              <w:rPr/>
              <w:t>项目实施方案 (10.0分)</w:t>
            </w:r>
            <w:r>
              <w:rPr/>
              <w:t>，（等次分值选择：</w:t>
            </w:r>
            <w:r>
              <w:rPr/>
              <w:t>0.0;</w:t>
            </w:r>
            <w:r>
              <w:rPr/>
              <w:t>2.0;</w:t>
            </w:r>
            <w:r>
              <w:rPr/>
              <w:t>5.0;</w:t>
            </w:r>
            <w:r>
              <w:rPr/>
              <w:t>10.0;</w:t>
            </w:r>
            <w:r>
              <w:rPr/>
              <w:t>）</w:t>
            </w:r>
          </w:p>
        </w:tc>
        <w:tc>
          <w:tcPr>
            <w:tcW w:type="dxa" w:w="5076"/>
          </w:tcPr>
          <w:p>
            <w:pPr>
              <w:jc w:val="left"/>
            </w:pPr>
            <w:r>
              <w:rPr/>
              <w:t>对本项目的项目实施方案（包括服务对象、服务内容、服务方式等）的全面性、合理性、可行性进行综合评价： 1、对项目的服务对象理解清晰、熟悉服务对象的技术方案、软件架构、部署环境，技术方案科学、可行，能实现无缝对接并提供系统制造商对接函，服务内容全面、合理、可行，服务方式科学高效，得10分； 2、对项目的服务对象理解较清晰、基本熟悉服务对象的技术方案、软件架构、部署环境，技术方案较科学、可行，能实现无缝对接，服务内容较全面、合理、可行，服务方式有一定的效率体现，得5分； 可：对项目的服务对象理解不够清晰、技术方案基本可行，服务内容不全面或不合理或不可行，服务方式不够科学高效，得2分； 注：不提供不得分。</w:t>
            </w:r>
          </w:p>
        </w:tc>
      </w:tr>
      <w:tr>
        <w:tc>
          <w:tcPr>
            <w:tcW w:type="dxa" w:w="922"/>
            <w:gridSpan w:val="2"/>
            <w:vMerge/>
          </w:tcPr>
          <w:p/>
        </w:tc>
        <w:tc>
          <w:tcPr>
            <w:tcW w:type="dxa" w:w="2307"/>
          </w:tcPr>
          <w:p>
            <w:pPr>
              <w:jc w:val="left"/>
            </w:pPr>
            <w:r>
              <w:rPr/>
              <w:t>质量保障措施 (10.0分)</w:t>
            </w:r>
            <w:r>
              <w:rPr/>
              <w:t>，（等次分值选择：</w:t>
            </w:r>
            <w:r>
              <w:rPr/>
              <w:t>0.0;</w:t>
            </w:r>
            <w:r>
              <w:rPr/>
              <w:t>1.0;</w:t>
            </w:r>
            <w:r>
              <w:rPr/>
              <w:t>5.0;</w:t>
            </w:r>
            <w:r>
              <w:rPr/>
              <w:t>10.0;</w:t>
            </w:r>
            <w:r>
              <w:rPr/>
              <w:t>）</w:t>
            </w:r>
          </w:p>
        </w:tc>
        <w:tc>
          <w:tcPr>
            <w:tcW w:type="dxa" w:w="5076"/>
          </w:tcPr>
          <w:p>
            <w:pPr>
              <w:jc w:val="left"/>
            </w:pPr>
            <w:r>
              <w:rPr/>
              <w:t>对项目的质量保证体系及风险预防措施进行综合评价： 1、质量控制方案针对性、可操作性强；对项目风险具有很好的预判，风险控制措施可行性强，得10分； 2、质量控制方案针对性、可操作性一般；对项目风险的预判一般，风险控制措施可行性一般，得5分； 3、质量控制方案针对性不足；对项目风险的预判不准确，风险控制措施可行性不足，得1分； 注：不提供不得分。</w:t>
            </w:r>
          </w:p>
        </w:tc>
      </w:tr>
      <w:tr>
        <w:tc>
          <w:tcPr>
            <w:tcW w:type="dxa" w:w="922"/>
            <w:gridSpan w:val="2"/>
            <w:vMerge/>
          </w:tcPr>
          <w:p/>
        </w:tc>
        <w:tc>
          <w:tcPr>
            <w:tcW w:type="dxa" w:w="2307"/>
          </w:tcPr>
          <w:p>
            <w:pPr>
              <w:jc w:val="left"/>
            </w:pPr>
            <w:r>
              <w:rPr/>
              <w:t>快速响应服务方案 (10.0分)</w:t>
            </w:r>
            <w:r>
              <w:rPr/>
              <w:t>，（等次分值选择：</w:t>
            </w:r>
            <w:r>
              <w:rPr/>
              <w:t>0.0;</w:t>
            </w:r>
            <w:r>
              <w:rPr/>
              <w:t>1.0;</w:t>
            </w:r>
            <w:r>
              <w:rPr/>
              <w:t>4.0;</w:t>
            </w:r>
            <w:r>
              <w:rPr/>
              <w:t>7.0;</w:t>
            </w:r>
            <w:r>
              <w:rPr/>
              <w:t>10.0;</w:t>
            </w:r>
            <w:r>
              <w:rPr/>
              <w:t>）</w:t>
            </w:r>
          </w:p>
        </w:tc>
        <w:tc>
          <w:tcPr>
            <w:tcW w:type="dxa" w:w="5076"/>
          </w:tcPr>
          <w:p>
            <w:pPr>
              <w:jc w:val="left"/>
            </w:pPr>
            <w:r>
              <w:rPr/>
              <w:t>根据各供应商关于其承担本项目的业务能力和优势的相关阐述，快速响应采购人服务要求、沟通联系渠道的可行性及优越性进行综合评价： 1、供应商能在30分钟内响应并到达采购人地点，服务可行性和优越性较好的，得10分； 2、供应商能在60分钟内响应并到达采购人地点，具有一定的服务可行性和优越性的，得7分； 3、供应商能在120分钟内响应并到达采购人地点，服务可行性和优越性一般的，得4分； 差：供应商在120分钟外响应并到达采购人地点，服务可行性和优越性差的，得1分； 【注：本项最高得10分，不提供不得分。需提供百度地图截图证明等材料加盖供应商公章。采购人地址：广东省佛山市禅城区同济西路9号。】不提供不得分。</w:t>
            </w:r>
          </w:p>
        </w:tc>
      </w:tr>
      <w:tr>
        <w:tc>
          <w:tcPr>
            <w:tcW w:type="dxa" w:w="922"/>
            <w:gridSpan w:val="2"/>
            <w:vMerge/>
          </w:tcPr>
          <w:p/>
        </w:tc>
        <w:tc>
          <w:tcPr>
            <w:tcW w:type="dxa" w:w="2307"/>
          </w:tcPr>
          <w:p>
            <w:pPr>
              <w:jc w:val="left"/>
            </w:pPr>
            <w:r>
              <w:rPr/>
              <w:t>拟投入本项目的技术能力 (10.0分)</w:t>
            </w:r>
          </w:p>
        </w:tc>
        <w:tc>
          <w:tcPr>
            <w:tcW w:type="dxa" w:w="5076"/>
          </w:tcPr>
          <w:p>
            <w:pPr>
              <w:jc w:val="left"/>
            </w:pPr>
            <w:r>
              <w:rPr/>
              <w:t>根据供应商拟投入的技术力量进行综合评价： 1、项目团队中项目经理具有高级职称资格的，得4分； 2、项目团队中技术人员具有计算机技术与软件专业技术资格软件设计师的人数：6人或以上的得6分；其他情况不得分。 【注：本项最高得10分，不提供不得分。上述人员不得兼职，如发生重叠只计算第1项得分，须提供以上人员相关资格证书复印件并加盖供应商公章，以及提供项目团队人员近三个月内任意1个月（递交响应文件截止时间往前推3个月，磋商当月不算）供应商为其购买社会保险的证明并加盖社会保险基金管理中心印章的复印件。】</w:t>
            </w:r>
          </w:p>
        </w:tc>
      </w:tr>
      <w:tr>
        <w:tc>
          <w:tcPr>
            <w:tcW w:type="dxa" w:w="922"/>
            <w:gridSpan w:val="2"/>
            <w:vMerge w:val="restart"/>
          </w:tcPr>
          <w:p>
            <w:pPr>
              <w:jc w:val="center"/>
            </w:pPr>
            <w:r>
              <w:rPr/>
              <w:t>商务部分</w:t>
            </w:r>
          </w:p>
        </w:tc>
        <w:tc>
          <w:tcPr>
            <w:tcW w:type="dxa" w:w="2307"/>
          </w:tcPr>
          <w:p>
            <w:pPr>
              <w:jc w:val="left"/>
            </w:pPr>
            <w:r>
              <w:rPr/>
              <w:t>企业综合实力 (12.0分)</w:t>
            </w:r>
          </w:p>
        </w:tc>
        <w:tc>
          <w:tcPr>
            <w:tcW w:type="dxa" w:w="5076"/>
          </w:tcPr>
          <w:p>
            <w:pPr>
              <w:jc w:val="left"/>
            </w:pPr>
            <w:r>
              <w:rPr/>
              <w:t>1、具有信息安全管理体系认证证书的得3分； 2、具有质量管理体系认证证书的得3分； 3、具有环境管理体系认证证书的得3分； 4、具有职业健康管理体系认证证书的得3分。 注：本项最高得12分，不提供不得分。供应商须在响应文件中提供有效期内的相关证明材料复印件并加盖公章。</w:t>
            </w:r>
          </w:p>
        </w:tc>
      </w:tr>
      <w:tr>
        <w:tc>
          <w:tcPr>
            <w:tcW w:type="dxa" w:w="922"/>
            <w:gridSpan w:val="2"/>
            <w:vMerge/>
          </w:tcPr>
          <w:p/>
        </w:tc>
        <w:tc>
          <w:tcPr>
            <w:tcW w:type="dxa" w:w="2307"/>
          </w:tcPr>
          <w:p>
            <w:pPr>
              <w:jc w:val="left"/>
            </w:pPr>
            <w:r>
              <w:rPr/>
              <w:t>企业技术实力 (22.0分)</w:t>
            </w:r>
          </w:p>
        </w:tc>
        <w:tc>
          <w:tcPr>
            <w:tcW w:type="dxa" w:w="5076"/>
          </w:tcPr>
          <w:p>
            <w:pPr>
              <w:jc w:val="left"/>
            </w:pPr>
            <w:r>
              <w:rPr/>
              <w:t>对供应商具备企业技术实力情况，进行综合评审： 1.具有教育数据相关技术的软件著作权的，每个得2分，本小项最高得12分； 2.具有信.创相关技术的软件著作权的，每个得2分，本小项最高得6分； 3.拥有数据分析相关的发明专利的，得4分，本小项最高得4分； 注：本项最高得22分，不提供不得分，以上证书的颁发日期须在本项目磋商公告发布之日之前。</w:t>
            </w:r>
          </w:p>
        </w:tc>
      </w:tr>
      <w:tr>
        <w:tc>
          <w:tcPr>
            <w:tcW w:type="dxa" w:w="922"/>
            <w:gridSpan w:val="2"/>
            <w:vMerge/>
          </w:tcPr>
          <w:p/>
        </w:tc>
        <w:tc>
          <w:tcPr>
            <w:tcW w:type="dxa" w:w="2307"/>
          </w:tcPr>
          <w:p>
            <w:pPr>
              <w:jc w:val="left"/>
            </w:pPr>
            <w:r>
              <w:rPr/>
              <w:t>同类项目经验 (6.0分)</w:t>
            </w:r>
          </w:p>
        </w:tc>
        <w:tc>
          <w:tcPr>
            <w:tcW w:type="dxa" w:w="5076"/>
          </w:tcPr>
          <w:p>
            <w:pPr>
              <w:jc w:val="left"/>
            </w:pPr>
            <w:r>
              <w:rPr/>
              <w:t>供应商自2020年1月1日至今（以合同签订时间为准），所承接的同类项目，每份合同得2分，最高得6分。 注：本项最高得6分，不提供不得分，供应商须提供合同关键页（金额、内容、签名盖章页）复印件加盖供应商公章。</w:t>
            </w:r>
          </w:p>
        </w:tc>
      </w:tr>
      <w:tr>
        <w:tc>
          <w:tcPr>
            <w:tcW w:type="dxa" w:w="922"/>
            <w:gridSpan w:val="2"/>
          </w:tcPr>
          <w:p>
            <w:pPr>
              <w:jc w:val="center"/>
            </w:pPr>
            <w:r>
              <w:rPr/>
              <w:t>投标报价</w:t>
            </w:r>
          </w:p>
        </w:tc>
        <w:tc>
          <w:tcPr>
            <w:tcW w:type="dxa" w:w="2307"/>
          </w:tcPr>
          <w:p>
            <w:pPr>
              <w:jc w:val="left"/>
            </w:pPr>
            <w:r>
              <w:rPr/>
              <w:t>投标报价得分 (10.0分)</w:t>
            </w:r>
          </w:p>
        </w:tc>
        <w:tc>
          <w:tcPr>
            <w:tcW w:type="dxa" w:w="5076"/>
          </w:tcPr>
          <w:p>
            <w:pPr>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
      <w:r>
        <w:rPr>
          <w:b/>
          <w:sz w:val="24"/>
        </w:rPr>
        <w:t>6.汇总、排序</w:t>
      </w:r>
    </w:p>
    <w:p>
      <w:pPr>
        <w:ind w:firstLine="480"/>
      </w:pPr>
    </w:p>
    <w:p/>
    <w:p>
      <w:r>
        <w:rPr/>
        <w:t>采购包1：</w:t>
      </w:r>
    </w:p>
    <w:p/>
    <w:p>
      <w:r>
        <w:rPr/>
        <w:t>评审结果按评审后总得分由高到低顺序排列。评审得分相同的，按最终报价由低到高顺序排列。得分且最终报价相同的，由谈判小组采取随机抽取的方式确定。排名第一的谈判供应商为第一成交候选人，排名第二的谈判供应商为第二成交候选人（提供相同品牌产品（非单一产品采购，以核心产品为准。多个核心产品的，有一种产品品牌相同，即视为提供相同品牌产品），评审后得分最高的同品牌谈判供应商获得成交候选人推荐资格；评审得分相同的，由采购人或者采购人委托谈判小组采取随机抽取方式确定，其他同品牌谈判供应商不作为成交候选人）。</w:t>
      </w:r>
    </w:p>
    <w:p/>
    <w:p>
      <w:r>
        <w:rPr>
          <w:b/>
          <w:sz w:val="24"/>
        </w:rPr>
        <w:t>7.其他无效响应的情形：</w:t>
      </w:r>
    </w:p>
    <w:p>
      <w:pPr>
        <w:ind w:firstLine="480"/>
      </w:pPr>
      <w:r>
        <w:rPr/>
        <w:t>（1）评审期间，供应商没有按磋商小组的要求提交法定代表人或其委托代理人签字的澄清、说明、补正或改变了响应文件的实质性内容的。</w:t>
      </w:r>
    </w:p>
    <w:p>
      <w:pPr>
        <w:ind w:firstLine="480"/>
      </w:pPr>
      <w:r>
        <w:rPr/>
        <w:t>（2）响应文件提供虚假材料的。</w:t>
      </w:r>
    </w:p>
    <w:p>
      <w:pPr>
        <w:ind w:firstLine="480"/>
      </w:pPr>
      <w:r>
        <w:rPr/>
        <w:t>（3）供应商以他人名义响应、串通响应、以行贿手段谋取成交或者以其他弄虚作假方式响应的。</w:t>
      </w:r>
    </w:p>
    <w:p>
      <w:pPr>
        <w:ind w:firstLine="480"/>
      </w:pPr>
      <w:r>
        <w:rPr/>
        <w:t>（4）供应商对采购人、采购代理机构、磋商小组及其工作人员施加影响，有碍招标公平、公正的。</w:t>
      </w:r>
    </w:p>
    <w:p>
      <w:pPr>
        <w:ind w:firstLine="480"/>
      </w:pPr>
      <w:r>
        <w:rPr/>
        <w:t>（5）响应文件含有采购人不能接受的附加条件的。</w:t>
      </w:r>
    </w:p>
    <w:p>
      <w:pPr>
        <w:ind w:firstLine="480"/>
      </w:pPr>
      <w:r>
        <w:rPr/>
        <w:t>（6）法律、法规和磋商文件规定的其他无效情形。</w:t>
      </w:r>
    </w:p>
    <w:p>
      <w:pPr>
        <w:ind w:firstLine="480"/>
      </w:pPr>
    </w:p>
    <w:p>
      <w:r>
        <w:rPr/>
        <w:t xml:space="preserve"> </w:t>
      </w:r>
    </w:p>
    <w:p/>
    <w:p>
      <w:pPr>
        <w:jc w:val="center"/>
      </w:pPr>
      <w:r>
        <w:rPr>
          <w:b/>
          <w:sz w:val="36"/>
        </w:rPr>
        <w:t>第五章 合同文本</w:t>
      </w:r>
    </w:p>
    <w:p>
      <w:pPr>
        <w:ind w:firstLine="480"/>
      </w:pPr>
    </w:p>
    <w:p/>
    <w:p/>
    <w:p/>
    <w:p>
      <w:pPr>
        <w:jc w:val="center"/>
      </w:pPr>
      <w:r>
        <w:rPr>
          <w:color w:val="000000"/>
          <w:sz w:val="68"/>
        </w:rPr>
        <w:t>佛山市政府采购项目</w:t>
      </w:r>
    </w:p>
    <w:p>
      <w:pPr>
        <w:jc w:val="center"/>
      </w:pPr>
    </w:p>
    <w:p>
      <w:pPr>
        <w:jc w:val="center"/>
      </w:pPr>
      <w:r>
        <w:rPr>
          <w:color w:val="000000"/>
          <w:sz w:val="68"/>
        </w:rPr>
        <w:t>合</w:t>
      </w:r>
      <w:r>
        <w:rPr>
          <w:color w:val="000000"/>
          <w:sz w:val="68"/>
        </w:rPr>
        <w:t>同</w:t>
      </w:r>
      <w:r>
        <w:rPr>
          <w:color w:val="000000"/>
          <w:sz w:val="68"/>
        </w:rPr>
        <w:t>书</w:t>
      </w:r>
    </w:p>
    <w:p>
      <w:pPr>
        <w:jc w:val="center"/>
      </w:pPr>
    </w:p>
    <w:p>
      <w:pPr>
        <w:jc w:val="center"/>
      </w:pPr>
    </w:p>
    <w:p>
      <w:pPr>
        <w:jc w:val="center"/>
      </w:pPr>
    </w:p>
    <w:p>
      <w:pPr>
        <w:jc w:val="center"/>
      </w:pPr>
    </w:p>
    <w:p>
      <w:pPr>
        <w:ind w:firstLine="2409"/>
      </w:pPr>
      <w:r>
        <w:rPr>
          <w:b/>
          <w:color w:val="000000"/>
          <w:sz w:val="24"/>
        </w:rPr>
        <w:t>项目编号：</w:t>
      </w:r>
    </w:p>
    <w:p>
      <w:pPr>
        <w:ind w:firstLine="2409"/>
      </w:pPr>
      <w:r>
        <w:rPr>
          <w:b/>
          <w:color w:val="000000"/>
          <w:sz w:val="24"/>
        </w:rPr>
        <w:t>项目名称：</w:t>
      </w:r>
    </w:p>
    <w:p>
      <w:pPr>
        <w:jc w:val="center"/>
      </w:pPr>
    </w:p>
    <w:p>
      <w:pPr>
        <w:jc w:val="center"/>
      </w:pPr>
    </w:p>
    <w:p>
      <w:pPr>
        <w:jc w:val="center"/>
      </w:pPr>
    </w:p>
    <w:tbl>
      <w:tblPr>
        <w:tblW w:w="0" w:type="auto"/>
        <w:tblBorders>
          <w:top w:val="none" w:color="000000" w:sz="4"/>
          <w:left w:val="none" w:color="000000" w:sz="4"/>
          <w:bottom w:val="none" w:color="000000" w:sz="4"/>
          <w:right w:val="none" w:color="000000" w:sz="4"/>
          <w:insideH w:val="none"/>
          <w:insideV w:val="none"/>
        </w:tblBorders>
      </w:tblPr>
      <w:tblGrid>
        <w:gridCol w:w="2273"/>
        <w:gridCol w:w="6033"/>
      </w:tblGrid>
      <w:tr>
        <w:tc>
          <w:tcPr>
            <w:tcW w:type="dxa" w:w="2273"/>
            <w:tcBorders>
              <w:top w:val="none" w:color="000000" w:sz="4"/>
              <w:left w:val="none" w:color="000000" w:sz="4"/>
              <w:bottom w:val="none" w:color="000000" w:sz="4"/>
              <w:right w:val="none" w:color="000000" w:sz="4"/>
            </w:tcBorders>
            <w:vAlign w:val="top"/>
          </w:tcPr>
          <w:p>
            <w:pPr>
              <w:jc w:val="center"/>
            </w:pPr>
            <w:r>
              <w:rPr>
                <w:color w:val="000000"/>
                <w:sz w:val="28"/>
              </w:rPr>
              <w:t>甲</w:t>
            </w:r>
            <w:r>
              <w:rPr>
                <w:color w:val="000000"/>
                <w:sz w:val="28"/>
              </w:rPr>
              <w:t xml:space="preserve">   </w:t>
            </w:r>
            <w:r>
              <w:rPr>
                <w:color w:val="000000"/>
                <w:sz w:val="28"/>
              </w:rPr>
              <w:t>方：</w:t>
            </w:r>
          </w:p>
        </w:tc>
        <w:tc>
          <w:tcPr>
            <w:tcW w:type="dxa" w:w="6033"/>
            <w:tcBorders>
              <w:top w:val="none" w:color="000000" w:sz="4"/>
              <w:left w:val="none" w:color="000000" w:sz="4"/>
              <w:bottom w:val="none" w:color="000000" w:sz="4"/>
              <w:right w:val="none" w:color="000000" w:sz="4"/>
            </w:tcBorders>
            <w:vAlign w:val="top"/>
          </w:tcPr>
          <w:p>
            <w:pPr>
              <w:jc w:val="left"/>
            </w:pPr>
            <w:r>
              <w:rPr>
                <w:color w:val="000000"/>
                <w:sz w:val="28"/>
                <w:u w:val="single"/>
              </w:rPr>
              <w:t xml:space="preserve">        </w:t>
            </w:r>
            <w:r>
              <w:rPr>
                <w:color w:val="000000"/>
                <w:sz w:val="28"/>
                <w:u w:val="single"/>
              </w:rPr>
              <w:t>采购人名称</w:t>
            </w:r>
            <w:r>
              <w:rPr>
                <w:color w:val="000000"/>
                <w:sz w:val="28"/>
                <w:u w:val="single"/>
              </w:rPr>
              <w:t xml:space="preserve">         </w:t>
            </w:r>
          </w:p>
        </w:tc>
      </w:tr>
      <w:tr>
        <w:tc>
          <w:tcPr>
            <w:tcW w:type="dxa" w:w="2273"/>
            <w:tcBorders>
              <w:top w:val="none" w:color="000000" w:sz="4"/>
              <w:left w:val="none" w:color="000000" w:sz="4"/>
              <w:bottom w:val="none" w:color="000000" w:sz="4"/>
              <w:right w:val="none" w:color="000000" w:sz="4"/>
            </w:tcBorders>
            <w:vAlign w:val="top"/>
          </w:tcPr>
          <w:p>
            <w:pPr>
              <w:jc w:val="center"/>
            </w:pPr>
            <w:r>
              <w:rPr>
                <w:color w:val="000000"/>
                <w:sz w:val="28"/>
              </w:rPr>
              <w:t>乙</w:t>
            </w:r>
            <w:r>
              <w:rPr>
                <w:color w:val="000000"/>
                <w:sz w:val="28"/>
              </w:rPr>
              <w:t xml:space="preserve">   </w:t>
            </w:r>
            <w:r>
              <w:rPr>
                <w:color w:val="000000"/>
                <w:sz w:val="28"/>
              </w:rPr>
              <w:t>方：</w:t>
            </w:r>
          </w:p>
        </w:tc>
        <w:tc>
          <w:tcPr>
            <w:tcW w:type="dxa" w:w="6033"/>
            <w:tcBorders>
              <w:top w:val="none" w:color="000000" w:sz="4"/>
              <w:left w:val="none" w:color="000000" w:sz="4"/>
              <w:bottom w:val="none" w:color="000000" w:sz="4"/>
              <w:right w:val="none" w:color="000000" w:sz="4"/>
            </w:tcBorders>
            <w:vAlign w:val="top"/>
          </w:tcPr>
          <w:p>
            <w:pPr>
              <w:jc w:val="left"/>
            </w:pPr>
            <w:r>
              <w:rPr>
                <w:color w:val="000000"/>
                <w:sz w:val="28"/>
                <w:u w:val="single"/>
              </w:rPr>
              <w:t xml:space="preserve">  </w:t>
            </w:r>
            <w:r>
              <w:rPr>
                <w:color w:val="000000"/>
                <w:sz w:val="28"/>
                <w:u w:val="single"/>
              </w:rPr>
              <w:t>（中标</w:t>
            </w:r>
            <w:r>
              <w:rPr>
                <w:color w:val="000000"/>
                <w:sz w:val="28"/>
                <w:u w:val="single"/>
              </w:rPr>
              <w:t xml:space="preserve">/成交供应商名称）      </w:t>
            </w:r>
          </w:p>
        </w:tc>
      </w:tr>
      <w:tr>
        <w:tc>
          <w:tcPr>
            <w:tcW w:type="dxa" w:w="2273"/>
            <w:tcBorders>
              <w:top w:val="none" w:color="000000" w:sz="4"/>
              <w:left w:val="none" w:color="000000" w:sz="4"/>
              <w:bottom w:val="none" w:color="000000" w:sz="4"/>
              <w:right w:val="none" w:color="000000" w:sz="4"/>
            </w:tcBorders>
            <w:vAlign w:val="top"/>
          </w:tcPr>
          <w:p>
            <w:pPr>
              <w:jc w:val="center"/>
            </w:pPr>
            <w:r>
              <w:rPr>
                <w:color w:val="000000"/>
                <w:sz w:val="28"/>
              </w:rPr>
              <w:t>签订日期：</w:t>
            </w:r>
          </w:p>
        </w:tc>
        <w:tc>
          <w:tcPr>
            <w:tcW w:type="dxa" w:w="6033"/>
            <w:tcBorders>
              <w:top w:val="none" w:color="000000" w:sz="4"/>
              <w:left w:val="none" w:color="000000" w:sz="4"/>
              <w:bottom w:val="none" w:color="000000" w:sz="4"/>
              <w:right w:val="none" w:color="000000" w:sz="4"/>
            </w:tcBorders>
            <w:vAlign w:val="top"/>
          </w:tcPr>
          <w:p>
            <w:pPr>
              <w:jc w:val="left"/>
            </w:pPr>
            <w:r>
              <w:rPr>
                <w:color w:val="000000"/>
                <w:sz w:val="28"/>
                <w:u w:val="single"/>
              </w:rPr>
              <w:t>年</w:t>
            </w:r>
            <w:r>
              <w:rPr>
                <w:color w:val="000000"/>
                <w:sz w:val="28"/>
                <w:u w:val="single"/>
              </w:rPr>
              <w:t>月日</w:t>
            </w:r>
            <w:r>
              <w:rPr>
                <w:color w:val="000000"/>
                <w:sz w:val="28"/>
                <w:u w:val="single"/>
              </w:rPr>
              <w:t xml:space="preserve">       </w:t>
            </w:r>
          </w:p>
        </w:tc>
      </w:tr>
    </w:tbl>
    <w:p>
      <w:pPr>
        <w:jc w:val="center"/>
      </w:pPr>
    </w:p>
    <w:p>
      <w:pPr>
        <w:jc w:val="center"/>
      </w:pPr>
    </w:p>
    <w:p>
      <w:pPr>
        <w:jc w:val="center"/>
      </w:pPr>
    </w:p>
    <w:p>
      <w:pPr>
        <w:jc w:val="center"/>
      </w:pPr>
    </w:p>
    <w:p>
      <w:pPr>
        <w:jc w:val="left"/>
      </w:pPr>
      <w:r>
        <w:rPr>
          <w:i/>
          <w:sz w:val="21"/>
        </w:rPr>
        <w:t>注：本合同仅为合同的参考文本，可根据项目的具体要求进行修订。</w:t>
      </w:r>
    </w:p>
    <w:p>
      <w:pPr>
        <w:jc w:val="center"/>
      </w:pPr>
      <w:r>
        <w:rPr>
          <w:b/>
          <w:color w:val="000000"/>
          <w:sz w:val="44"/>
        </w:rPr>
        <w:t>佛山市政府采购项目合同书</w:t>
      </w:r>
    </w:p>
    <w:p/>
    <w:tbl>
      <w:tblPr>
        <w:tblW w:w="0" w:type="auto"/>
        <w:tblBorders>
          <w:top w:val="none" w:color="000000" w:sz="4"/>
          <w:left w:val="none" w:color="000000" w:sz="4"/>
          <w:bottom w:val="none" w:color="000000" w:sz="4"/>
          <w:right w:val="none" w:color="000000" w:sz="4"/>
          <w:insideH w:val="none"/>
          <w:insideV w:val="none"/>
        </w:tblBorders>
      </w:tblPr>
      <w:tblGrid>
        <w:gridCol w:w="1635"/>
        <w:gridCol w:w="6671"/>
      </w:tblGrid>
      <w:tr>
        <w:tc>
          <w:tcPr>
            <w:tcW w:type="dxa" w:w="1635"/>
            <w:tcBorders>
              <w:top w:val="none" w:color="000000" w:sz="4"/>
              <w:left w:val="none" w:color="000000" w:sz="4"/>
              <w:bottom w:val="none" w:color="000000" w:sz="4"/>
              <w:right w:val="none" w:color="000000" w:sz="4"/>
            </w:tcBorders>
            <w:vAlign w:val="top"/>
          </w:tcPr>
          <w:p>
            <w:r>
              <w:rPr>
                <w:b/>
                <w:color w:val="000000"/>
                <w:sz w:val="24"/>
              </w:rPr>
              <w:t>项目名称</w:t>
            </w:r>
            <w:r>
              <w:rPr>
                <w:b/>
                <w:color w:val="000000"/>
                <w:sz w:val="21"/>
              </w:rPr>
              <w:t>：</w:t>
            </w:r>
          </w:p>
        </w:tc>
        <w:tc>
          <w:tcPr>
            <w:tcW w:type="dxa" w:w="6671"/>
            <w:tcBorders>
              <w:top w:val="none" w:color="000000" w:sz="4"/>
              <w:left w:val="none" w:color="000000" w:sz="4"/>
              <w:bottom w:val="none" w:color="000000" w:sz="4"/>
              <w:right w:val="none" w:color="000000" w:sz="4"/>
            </w:tcBorders>
            <w:vAlign w:val="top"/>
          </w:tcPr>
          <w:p>
            <w:pPr>
              <w:jc w:val="left"/>
            </w:pPr>
          </w:p>
        </w:tc>
      </w:tr>
      <w:tr>
        <w:tc>
          <w:tcPr>
            <w:tcW w:type="dxa" w:w="1635"/>
            <w:tcBorders>
              <w:top w:val="none" w:color="000000" w:sz="4"/>
              <w:left w:val="none" w:color="000000" w:sz="4"/>
              <w:bottom w:val="none" w:color="000000" w:sz="4"/>
              <w:right w:val="none" w:color="000000" w:sz="4"/>
            </w:tcBorders>
            <w:vAlign w:val="top"/>
          </w:tcPr>
          <w:p>
            <w:r>
              <w:rPr>
                <w:b/>
                <w:color w:val="000000"/>
                <w:sz w:val="24"/>
              </w:rPr>
              <w:t>项目编号：</w:t>
            </w:r>
          </w:p>
        </w:tc>
        <w:tc>
          <w:tcPr>
            <w:tcW w:type="dxa" w:w="6671"/>
            <w:tcBorders>
              <w:top w:val="none" w:color="000000" w:sz="4"/>
              <w:left w:val="none" w:color="000000" w:sz="4"/>
              <w:bottom w:val="none" w:color="000000" w:sz="4"/>
              <w:right w:val="none" w:color="000000" w:sz="4"/>
            </w:tcBorders>
            <w:vAlign w:val="top"/>
          </w:tcPr>
          <w:p/>
        </w:tc>
      </w:tr>
      <w:tr>
        <w:tc>
          <w:tcPr>
            <w:tcW w:type="dxa" w:w="1635"/>
            <w:tcBorders>
              <w:top w:val="none" w:color="000000" w:sz="4"/>
              <w:left w:val="none" w:color="000000" w:sz="4"/>
              <w:bottom w:val="none" w:color="000000" w:sz="4"/>
              <w:right w:val="none" w:color="000000" w:sz="4"/>
            </w:tcBorders>
            <w:vAlign w:val="top"/>
          </w:tcPr>
          <w:p>
            <w:r>
              <w:rPr>
                <w:b/>
                <w:color w:val="000000"/>
                <w:sz w:val="24"/>
              </w:rPr>
              <w:t>甲方：</w:t>
            </w:r>
          </w:p>
        </w:tc>
        <w:tc>
          <w:tcPr>
            <w:tcW w:type="dxa" w:w="6671"/>
            <w:tcBorders>
              <w:top w:val="none" w:color="000000" w:sz="4"/>
              <w:left w:val="none" w:color="000000" w:sz="4"/>
              <w:bottom w:val="none" w:color="000000" w:sz="4"/>
              <w:right w:val="none" w:color="000000" w:sz="4"/>
            </w:tcBorders>
            <w:vAlign w:val="top"/>
          </w:tcPr>
          <w:p>
            <w:r>
              <w:rPr>
                <w:color w:val="000000"/>
                <w:sz w:val="24"/>
                <w:u w:val="single"/>
              </w:rPr>
              <w:t>（采购人名称）</w:t>
            </w:r>
            <w:r>
              <w:rPr>
                <w:color w:val="000000"/>
                <w:sz w:val="24"/>
                <w:u w:val="single"/>
              </w:rPr>
              <w:t xml:space="preserve">                                  </w:t>
            </w:r>
          </w:p>
        </w:tc>
      </w:tr>
      <w:tr>
        <w:tc>
          <w:tcPr>
            <w:tcW w:type="dxa" w:w="1635"/>
            <w:tcBorders>
              <w:top w:val="none" w:color="000000" w:sz="4"/>
              <w:left w:val="none" w:color="000000" w:sz="4"/>
              <w:bottom w:val="none" w:color="000000" w:sz="4"/>
              <w:right w:val="none" w:color="000000" w:sz="4"/>
            </w:tcBorders>
            <w:vAlign w:val="top"/>
          </w:tcPr>
          <w:p>
            <w:r>
              <w:rPr>
                <w:b/>
                <w:color w:val="000000"/>
                <w:sz w:val="24"/>
              </w:rPr>
              <w:t>乙</w:t>
            </w:r>
            <w:r>
              <w:rPr>
                <w:b/>
                <w:color w:val="000000"/>
                <w:sz w:val="24"/>
              </w:rPr>
              <w:t xml:space="preserve">   </w:t>
            </w:r>
            <w:r>
              <w:rPr>
                <w:b/>
                <w:color w:val="000000"/>
                <w:sz w:val="24"/>
              </w:rPr>
              <w:t>方：</w:t>
            </w:r>
          </w:p>
        </w:tc>
        <w:tc>
          <w:tcPr>
            <w:tcW w:type="dxa" w:w="6671"/>
            <w:tcBorders>
              <w:top w:val="none" w:color="000000" w:sz="4"/>
              <w:left w:val="none" w:color="000000" w:sz="4"/>
              <w:bottom w:val="none" w:color="000000" w:sz="4"/>
              <w:right w:val="none" w:color="000000" w:sz="4"/>
            </w:tcBorders>
            <w:vAlign w:val="top"/>
          </w:tcPr>
          <w:p>
            <w:r>
              <w:rPr>
                <w:color w:val="000000"/>
                <w:sz w:val="24"/>
                <w:u w:val="single"/>
              </w:rPr>
              <w:t>（中标</w:t>
            </w:r>
            <w:r>
              <w:rPr>
                <w:color w:val="000000"/>
                <w:sz w:val="24"/>
                <w:u w:val="single"/>
              </w:rPr>
              <w:t xml:space="preserve">/成交供应商）                                 </w:t>
            </w:r>
          </w:p>
        </w:tc>
      </w:tr>
      <w:tr>
        <w:tc>
          <w:tcPr>
            <w:tcW w:type="dxa" w:w="1635"/>
            <w:tcBorders>
              <w:top w:val="none" w:color="000000" w:sz="4"/>
              <w:left w:val="none" w:color="000000" w:sz="4"/>
              <w:bottom w:val="none" w:color="000000" w:sz="4"/>
              <w:right w:val="none" w:color="000000" w:sz="4"/>
            </w:tcBorders>
            <w:vAlign w:val="top"/>
          </w:tcPr>
          <w:p>
            <w:r>
              <w:rPr>
                <w:b/>
                <w:color w:val="000000"/>
                <w:sz w:val="24"/>
              </w:rPr>
              <w:t>合同性质：</w:t>
            </w:r>
          </w:p>
        </w:tc>
        <w:tc>
          <w:tcPr>
            <w:tcW w:type="dxa" w:w="6671"/>
            <w:tcBorders>
              <w:top w:val="none" w:color="000000" w:sz="4"/>
              <w:left w:val="none" w:color="000000" w:sz="4"/>
              <w:bottom w:val="none" w:color="000000" w:sz="4"/>
              <w:right w:val="none" w:color="000000" w:sz="4"/>
            </w:tcBorders>
            <w:vAlign w:val="top"/>
          </w:tcPr>
          <w:p>
            <w:r>
              <w:rPr>
                <w:color w:val="000000"/>
                <w:sz w:val="24"/>
                <w:u w:val="single"/>
              </w:rPr>
              <w:t>本合同为中小企业预留合同</w:t>
            </w:r>
            <w:r>
              <w:rPr>
                <w:color w:val="000000"/>
                <w:sz w:val="24"/>
                <w:u w:val="single"/>
              </w:rPr>
              <w:t xml:space="preserve">                           </w:t>
            </w:r>
          </w:p>
        </w:tc>
      </w:tr>
    </w:tbl>
    <w:p/>
    <w:p>
      <w:r>
        <w:rPr>
          <w:color w:val="000000"/>
          <w:sz w:val="24"/>
        </w:rPr>
        <w:t>根据《中华人民共和国政府采购法》《中华人民共和国民法典》和本项目采购文件的要求，</w:t>
      </w:r>
      <w:r>
        <w:rPr>
          <w:color w:val="000000"/>
          <w:sz w:val="24"/>
        </w:rPr>
        <w:t>经双方协商，</w:t>
      </w:r>
      <w:r>
        <w:rPr>
          <w:color w:val="000000"/>
          <w:sz w:val="24"/>
        </w:rPr>
        <w:t>本着平等互利和诚实信用的原则，</w:t>
      </w:r>
      <w:r>
        <w:rPr>
          <w:color w:val="000000"/>
          <w:sz w:val="24"/>
        </w:rPr>
        <w:t>一致同意签订本合同如下。</w:t>
      </w:r>
    </w:p>
    <w:p>
      <w:r>
        <w:rPr>
          <w:b/>
          <w:color w:val="000000"/>
          <w:sz w:val="24"/>
        </w:rPr>
        <w:t>一、</w:t>
      </w:r>
      <w:r>
        <w:rPr>
          <w:b/>
          <w:color w:val="000000"/>
          <w:sz w:val="24"/>
        </w:rPr>
        <w:t>项目主要内容及实现功能目标：</w:t>
      </w:r>
    </w:p>
    <w:p>
      <w:r>
        <w:rPr>
          <w:color w:val="000000"/>
          <w:sz w:val="24"/>
        </w:rPr>
        <w:t>（按照采购文件和投标</w:t>
      </w:r>
      <w:r>
        <w:rPr>
          <w:color w:val="000000"/>
          <w:sz w:val="24"/>
        </w:rPr>
        <w:t>/响应文件执行）</w:t>
      </w:r>
    </w:p>
    <w:p>
      <w:r>
        <w:rPr>
          <w:b/>
          <w:color w:val="000000"/>
          <w:sz w:val="24"/>
        </w:rPr>
        <w:t>二、</w:t>
      </w:r>
      <w:r>
        <w:rPr>
          <w:b/>
          <w:color w:val="000000"/>
          <w:sz w:val="24"/>
        </w:rPr>
        <w:t>产品及服务供应清单：</w:t>
      </w:r>
      <w:r>
        <w:rPr>
          <w:color w:val="000000"/>
          <w:sz w:val="24"/>
        </w:rPr>
        <w:t>见附件一</w:t>
      </w:r>
      <w:r>
        <w:rPr>
          <w:color w:val="000000"/>
          <w:sz w:val="24"/>
        </w:rPr>
        <w:t>《报价清单明细表》。</w:t>
      </w:r>
    </w:p>
    <w:p>
      <w:r>
        <w:rPr>
          <w:b/>
          <w:color w:val="000000"/>
          <w:sz w:val="24"/>
        </w:rPr>
        <w:t>三、</w:t>
      </w:r>
      <w:r>
        <w:rPr>
          <w:b/>
          <w:color w:val="000000"/>
          <w:sz w:val="24"/>
        </w:rPr>
        <w:t>基本合同条款一览表</w:t>
      </w:r>
    </w:p>
    <w:tbl>
      <w:tblPr>
        <w:tblW w:w="0" w:type="auto"/>
        <w:tblBorders>
          <w:top w:val="none" w:color="000000" w:sz="4"/>
          <w:left w:val="none" w:color="000000" w:sz="4"/>
          <w:bottom w:val="none" w:color="000000" w:sz="4"/>
          <w:right w:val="none" w:color="000000" w:sz="4"/>
          <w:insideH w:val="none"/>
          <w:insideV w:val="none"/>
        </w:tblBorders>
      </w:tblPr>
      <w:tblGrid>
        <w:gridCol w:w="670"/>
        <w:gridCol w:w="1437"/>
        <w:gridCol w:w="6198"/>
      </w:tblGrid>
      <w:tr>
        <w:tc>
          <w:tcPr>
            <w:tcW w:type="dxa" w:w="670"/>
            <w:tcBorders>
              <w:top w:val="single" w:color="000000" w:sz="4"/>
              <w:left w:val="single" w:color="000000" w:sz="4"/>
              <w:bottom w:val="single" w:color="000000" w:sz="4"/>
              <w:right w:val="single" w:color="000000" w:sz="4"/>
            </w:tcBorders>
            <w:vAlign w:val="top"/>
          </w:tcPr>
          <w:p>
            <w:pPr>
              <w:jc w:val="center"/>
            </w:pPr>
            <w:r>
              <w:rPr>
                <w:b/>
                <w:color w:val="000000"/>
                <w:sz w:val="21"/>
              </w:rPr>
              <w:t>序号</w:t>
            </w:r>
          </w:p>
        </w:tc>
        <w:tc>
          <w:tcPr>
            <w:tcW w:type="dxa" w:w="1437"/>
            <w:tcBorders>
              <w:top w:val="single" w:color="000000" w:sz="4"/>
              <w:left w:val="none" w:color="000000" w:sz="4"/>
              <w:bottom w:val="single" w:color="000000" w:sz="4"/>
              <w:right w:val="single" w:color="000000" w:sz="4"/>
            </w:tcBorders>
            <w:vAlign w:val="top"/>
          </w:tcPr>
          <w:p>
            <w:pPr>
              <w:jc w:val="center"/>
            </w:pPr>
            <w:r>
              <w:rPr>
                <w:b/>
                <w:color w:val="000000"/>
                <w:sz w:val="21"/>
              </w:rPr>
              <w:t>合同条款</w:t>
            </w:r>
          </w:p>
        </w:tc>
        <w:tc>
          <w:tcPr>
            <w:tcW w:type="dxa" w:w="6198"/>
            <w:tcBorders>
              <w:top w:val="single" w:color="000000" w:sz="4"/>
              <w:left w:val="none" w:color="000000" w:sz="4"/>
              <w:bottom w:val="single" w:color="000000" w:sz="4"/>
              <w:right w:val="single" w:color="000000" w:sz="4"/>
            </w:tcBorders>
            <w:vAlign w:val="top"/>
          </w:tcPr>
          <w:p>
            <w:pPr>
              <w:jc w:val="center"/>
            </w:pPr>
            <w:r>
              <w:rPr>
                <w:b/>
                <w:color w:val="000000"/>
                <w:sz w:val="21"/>
              </w:rPr>
              <w:t>内容</w:t>
            </w:r>
          </w:p>
        </w:tc>
      </w:tr>
      <w:tr>
        <w:tc>
          <w:tcPr>
            <w:tcW w:type="dxa" w:w="670"/>
            <w:tcBorders>
              <w:top w:val="none" w:color="000000" w:sz="4"/>
              <w:left w:val="single" w:color="000000" w:sz="4"/>
              <w:bottom w:val="single" w:color="000000" w:sz="4"/>
              <w:right w:val="single" w:color="000000" w:sz="4"/>
            </w:tcBorders>
            <w:vAlign w:val="top"/>
          </w:tcPr>
          <w:p>
            <w:pPr>
              <w:numPr>
                <w:ilvl w:val="0"/>
                <w:numId w:val="1"/>
              </w:numPr>
              <w:jc w:val="center"/>
            </w:pPr>
          </w:p>
        </w:tc>
        <w:tc>
          <w:tcPr>
            <w:tcW w:type="dxa" w:w="1437"/>
            <w:tcBorders>
              <w:top w:val="none" w:color="000000" w:sz="4"/>
              <w:left w:val="none" w:color="000000" w:sz="4"/>
              <w:bottom w:val="single" w:color="000000" w:sz="4"/>
              <w:right w:val="single" w:color="000000" w:sz="4"/>
            </w:tcBorders>
            <w:vAlign w:val="top"/>
          </w:tcPr>
          <w:p>
            <w:pPr>
              <w:jc w:val="center"/>
            </w:pPr>
            <w:r>
              <w:rPr>
                <w:b/>
                <w:color w:val="000000"/>
                <w:sz w:val="21"/>
              </w:rPr>
              <w:t>合同总额</w:t>
            </w:r>
          </w:p>
        </w:tc>
        <w:tc>
          <w:tcPr>
            <w:tcW w:type="dxa" w:w="6198"/>
            <w:tcBorders>
              <w:top w:val="none" w:color="000000" w:sz="4"/>
              <w:left w:val="none" w:color="000000" w:sz="4"/>
              <w:bottom w:val="single" w:color="000000" w:sz="4"/>
              <w:right w:val="single" w:color="000000" w:sz="4"/>
            </w:tcBorders>
            <w:vAlign w:val="top"/>
          </w:tcPr>
          <w:p>
            <w:r>
              <w:rPr>
                <w:color w:val="000000"/>
                <w:sz w:val="21"/>
              </w:rPr>
              <w:t>人民币小写：元</w:t>
            </w:r>
            <w:r>
              <w:rPr>
                <w:color w:val="000000"/>
                <w:sz w:val="21"/>
              </w:rPr>
              <w:t>；</w:t>
            </w:r>
          </w:p>
          <w:p>
            <w:r>
              <w:rPr>
                <w:color w:val="000000"/>
                <w:sz w:val="21"/>
              </w:rPr>
              <w:t>大写：</w:t>
            </w:r>
          </w:p>
        </w:tc>
      </w:tr>
      <w:tr>
        <w:tc>
          <w:tcPr>
            <w:tcW w:type="dxa" w:w="670"/>
            <w:tcBorders>
              <w:top w:val="none" w:color="000000" w:sz="4"/>
              <w:left w:val="single" w:color="000000" w:sz="4"/>
              <w:bottom w:val="single" w:color="000000" w:sz="4"/>
              <w:right w:val="single" w:color="000000" w:sz="4"/>
            </w:tcBorders>
            <w:vAlign w:val="top"/>
          </w:tcPr>
          <w:p>
            <w:pPr>
              <w:numPr>
                <w:ilvl w:val="0"/>
                <w:numId w:val="2"/>
              </w:numPr>
              <w:jc w:val="center"/>
            </w:pPr>
          </w:p>
        </w:tc>
        <w:tc>
          <w:tcPr>
            <w:tcW w:type="dxa" w:w="1437"/>
            <w:tcBorders>
              <w:top w:val="none" w:color="000000" w:sz="4"/>
              <w:left w:val="none" w:color="000000" w:sz="4"/>
              <w:bottom w:val="single" w:color="000000" w:sz="4"/>
              <w:right w:val="single" w:color="000000" w:sz="4"/>
            </w:tcBorders>
            <w:vAlign w:val="top"/>
          </w:tcPr>
          <w:p>
            <w:pPr>
              <w:jc w:val="center"/>
            </w:pPr>
            <w:r>
              <w:rPr>
                <w:b/>
                <w:color w:val="000000"/>
                <w:sz w:val="21"/>
              </w:rPr>
              <w:t>合同总额内容</w:t>
            </w:r>
          </w:p>
        </w:tc>
        <w:tc>
          <w:tcPr>
            <w:tcW w:type="dxa" w:w="6198"/>
            <w:tcBorders>
              <w:top w:val="none" w:color="000000" w:sz="4"/>
              <w:left w:val="none" w:color="000000" w:sz="4"/>
              <w:bottom w:val="single" w:color="000000" w:sz="4"/>
              <w:right w:val="single" w:color="000000" w:sz="4"/>
            </w:tcBorders>
            <w:vAlign w:val="top"/>
          </w:tcPr>
          <w:p>
            <w:pPr>
              <w:numPr>
                <w:ilvl w:val="0"/>
                <w:numId w:val="1"/>
              </w:numPr>
            </w:pPr>
            <w:r>
              <w:rPr>
                <w:color w:val="000000"/>
                <w:sz w:val="21"/>
              </w:rPr>
              <w:t>合同总额包括</w:t>
            </w:r>
            <w:r>
              <w:rPr>
                <w:color w:val="000000"/>
                <w:sz w:val="21"/>
              </w:rPr>
              <w:t>完成本项目产生的所有费用、所有相关技术人员的工勤费用（包括工资、福利、交通、食宿、通讯费用等）、全额含税发票、合同实施过程中的应预见和不可预见费用等</w:t>
            </w:r>
            <w:r>
              <w:rPr>
                <w:color w:val="000000"/>
                <w:sz w:val="21"/>
              </w:rPr>
              <w:t>完成合同规定责任和义务、达到合同目的的一切费用及企业利润。</w:t>
            </w:r>
          </w:p>
          <w:p>
            <w:pPr>
              <w:numPr>
                <w:ilvl w:val="0"/>
                <w:numId w:val="1"/>
              </w:numPr>
            </w:pPr>
            <w:r>
              <w:rPr>
                <w:color w:val="000000"/>
                <w:sz w:val="21"/>
              </w:rPr>
              <w:t>价格为固定不变价，天数为公历日。</w:t>
            </w:r>
          </w:p>
        </w:tc>
      </w:tr>
      <w:tr>
        <w:tc>
          <w:tcPr>
            <w:tcW w:type="dxa" w:w="670"/>
            <w:tcBorders>
              <w:top w:val="none" w:color="000000" w:sz="4"/>
              <w:left w:val="single" w:color="000000" w:sz="4"/>
              <w:bottom w:val="single" w:color="000000" w:sz="4"/>
              <w:right w:val="single" w:color="000000" w:sz="4"/>
            </w:tcBorders>
            <w:vAlign w:val="top"/>
          </w:tcPr>
          <w:p>
            <w:pPr>
              <w:numPr>
                <w:ilvl w:val="0"/>
                <w:numId w:val="2"/>
              </w:numPr>
              <w:jc w:val="center"/>
            </w:pPr>
          </w:p>
        </w:tc>
        <w:tc>
          <w:tcPr>
            <w:tcW w:type="dxa" w:w="1437"/>
            <w:tcBorders>
              <w:top w:val="none" w:color="000000" w:sz="4"/>
              <w:left w:val="none" w:color="000000" w:sz="4"/>
              <w:bottom w:val="single" w:color="000000" w:sz="4"/>
              <w:right w:val="single" w:color="000000" w:sz="4"/>
            </w:tcBorders>
            <w:vAlign w:val="top"/>
          </w:tcPr>
          <w:p>
            <w:pPr>
              <w:jc w:val="center"/>
            </w:pPr>
            <w:r>
              <w:rPr>
                <w:b/>
                <w:color w:val="000000"/>
                <w:sz w:val="21"/>
              </w:rPr>
              <w:t>项目服务地点</w:t>
            </w:r>
          </w:p>
        </w:tc>
        <w:tc>
          <w:tcPr>
            <w:tcW w:type="dxa" w:w="6198"/>
            <w:tcBorders>
              <w:top w:val="none" w:color="000000" w:sz="4"/>
              <w:left w:val="none" w:color="000000" w:sz="4"/>
              <w:bottom w:val="single" w:color="000000" w:sz="4"/>
              <w:right w:val="single" w:color="000000" w:sz="4"/>
            </w:tcBorders>
            <w:vAlign w:val="top"/>
          </w:tcPr>
          <w:p>
            <w:pPr>
              <w:jc w:val="left"/>
            </w:pPr>
            <w:r>
              <w:rPr>
                <w:color w:val="000000"/>
                <w:sz w:val="21"/>
              </w:rPr>
              <w:t>甲方（用户）指定地点</w:t>
            </w:r>
            <w:r>
              <w:rPr>
                <w:color w:val="000000"/>
                <w:sz w:val="21"/>
              </w:rPr>
              <w:t>。详细地址为：</w:t>
            </w:r>
          </w:p>
        </w:tc>
      </w:tr>
      <w:tr>
        <w:tc>
          <w:tcPr>
            <w:tcW w:type="dxa" w:w="670"/>
            <w:tcBorders>
              <w:top w:val="none" w:color="000000" w:sz="4"/>
              <w:left w:val="single" w:color="000000" w:sz="4"/>
              <w:bottom w:val="single" w:color="000000" w:sz="4"/>
              <w:right w:val="single" w:color="000000" w:sz="4"/>
            </w:tcBorders>
            <w:vAlign w:val="top"/>
          </w:tcPr>
          <w:p>
            <w:pPr>
              <w:numPr>
                <w:ilvl w:val="0"/>
                <w:numId w:val="2"/>
              </w:numPr>
              <w:jc w:val="center"/>
            </w:pPr>
          </w:p>
        </w:tc>
        <w:tc>
          <w:tcPr>
            <w:tcW w:type="dxa" w:w="1437"/>
            <w:tcBorders>
              <w:top w:val="none" w:color="000000" w:sz="4"/>
              <w:left w:val="none" w:color="000000" w:sz="4"/>
              <w:bottom w:val="single" w:color="000000" w:sz="4"/>
              <w:right w:val="single" w:color="000000" w:sz="4"/>
            </w:tcBorders>
            <w:vAlign w:val="top"/>
          </w:tcPr>
          <w:p>
            <w:pPr>
              <w:jc w:val="center"/>
            </w:pPr>
            <w:r>
              <w:rPr>
                <w:b/>
                <w:color w:val="000000"/>
                <w:sz w:val="21"/>
              </w:rPr>
              <w:t>服务期</w:t>
            </w:r>
          </w:p>
        </w:tc>
        <w:tc>
          <w:tcPr>
            <w:tcW w:type="dxa" w:w="6198"/>
            <w:tcBorders>
              <w:top w:val="none" w:color="000000" w:sz="4"/>
              <w:left w:val="none" w:color="000000" w:sz="4"/>
              <w:bottom w:val="single" w:color="000000" w:sz="4"/>
              <w:right w:val="single" w:color="000000" w:sz="4"/>
            </w:tcBorders>
            <w:vAlign w:val="top"/>
          </w:tcPr>
          <w:p>
            <w:pPr>
              <w:jc w:val="left"/>
            </w:pPr>
            <w:r>
              <w:rPr>
                <w:color w:val="000000"/>
                <w:sz w:val="21"/>
              </w:rPr>
              <w:t>合同生效后提供</w:t>
            </w:r>
            <w:r>
              <w:rPr>
                <w:color w:val="000000"/>
                <w:sz w:val="21"/>
              </w:rPr>
              <w:t>___年服务，即从年月日至年月日。</w:t>
            </w:r>
          </w:p>
        </w:tc>
      </w:tr>
      <w:tr>
        <w:tc>
          <w:tcPr>
            <w:tcW w:type="dxa" w:w="670"/>
            <w:tcBorders>
              <w:top w:val="none" w:color="000000" w:sz="4"/>
              <w:left w:val="single" w:color="000000" w:sz="4"/>
              <w:bottom w:val="single" w:color="000000" w:sz="4"/>
              <w:right w:val="single" w:color="000000" w:sz="4"/>
            </w:tcBorders>
            <w:vAlign w:val="top"/>
          </w:tcPr>
          <w:p>
            <w:pPr>
              <w:numPr>
                <w:ilvl w:val="0"/>
                <w:numId w:val="2"/>
              </w:numPr>
              <w:jc w:val="center"/>
            </w:pPr>
          </w:p>
        </w:tc>
        <w:tc>
          <w:tcPr>
            <w:tcW w:type="dxa" w:w="1437"/>
            <w:tcBorders>
              <w:top w:val="none" w:color="000000" w:sz="4"/>
              <w:left w:val="none" w:color="000000" w:sz="4"/>
              <w:bottom w:val="single" w:color="000000" w:sz="4"/>
              <w:right w:val="single" w:color="000000" w:sz="4"/>
            </w:tcBorders>
            <w:vAlign w:val="top"/>
          </w:tcPr>
          <w:p>
            <w:pPr>
              <w:jc w:val="center"/>
            </w:pPr>
            <w:r>
              <w:rPr>
                <w:b/>
                <w:color w:val="000000"/>
                <w:sz w:val="21"/>
              </w:rPr>
              <w:t>付款方式</w:t>
            </w:r>
          </w:p>
        </w:tc>
        <w:tc>
          <w:tcPr>
            <w:tcW w:type="dxa" w:w="6198"/>
            <w:tcBorders>
              <w:top w:val="none" w:color="000000" w:sz="4"/>
              <w:left w:val="none" w:color="000000" w:sz="4"/>
              <w:bottom w:val="single" w:color="000000" w:sz="4"/>
              <w:right w:val="single" w:color="000000" w:sz="4"/>
            </w:tcBorders>
            <w:vAlign w:val="top"/>
          </w:tcPr>
          <w:p>
            <w:pPr>
              <w:jc w:val="left"/>
            </w:pPr>
          </w:p>
        </w:tc>
      </w:tr>
      <w:tr>
        <w:tc>
          <w:tcPr>
            <w:tcW w:type="dxa" w:w="670"/>
            <w:tcBorders>
              <w:top w:val="none" w:color="000000" w:sz="4"/>
              <w:left w:val="single" w:color="000000" w:sz="4"/>
              <w:bottom w:val="single" w:color="000000" w:sz="4"/>
              <w:right w:val="single" w:color="000000" w:sz="4"/>
            </w:tcBorders>
            <w:vAlign w:val="top"/>
          </w:tcPr>
          <w:p>
            <w:pPr>
              <w:numPr>
                <w:ilvl w:val="0"/>
                <w:numId w:val="2"/>
              </w:numPr>
              <w:jc w:val="center"/>
            </w:pPr>
          </w:p>
        </w:tc>
        <w:tc>
          <w:tcPr>
            <w:tcW w:type="dxa" w:w="1437"/>
            <w:tcBorders>
              <w:top w:val="none" w:color="000000" w:sz="4"/>
              <w:left w:val="none" w:color="000000" w:sz="4"/>
              <w:bottom w:val="single" w:color="000000" w:sz="4"/>
              <w:right w:val="single" w:color="000000" w:sz="4"/>
            </w:tcBorders>
            <w:vAlign w:val="top"/>
          </w:tcPr>
          <w:p>
            <w:pPr>
              <w:jc w:val="center"/>
            </w:pPr>
            <w:r>
              <w:rPr>
                <w:b/>
                <w:color w:val="000000"/>
                <w:sz w:val="21"/>
              </w:rPr>
              <w:t>付款要求</w:t>
            </w:r>
          </w:p>
        </w:tc>
        <w:tc>
          <w:tcPr>
            <w:tcW w:type="dxa" w:w="6198"/>
            <w:tcBorders>
              <w:top w:val="none" w:color="000000" w:sz="4"/>
              <w:left w:val="none" w:color="000000" w:sz="4"/>
              <w:bottom w:val="single" w:color="000000" w:sz="4"/>
              <w:right w:val="single" w:color="000000" w:sz="4"/>
            </w:tcBorders>
            <w:vAlign w:val="top"/>
          </w:tcPr>
          <w:p>
            <w:pPr>
              <w:numPr>
                <w:ilvl w:val="0"/>
                <w:numId w:val="1"/>
              </w:numPr>
              <w:jc w:val="left"/>
            </w:pPr>
            <w:r>
              <w:rPr>
                <w:color w:val="000000"/>
                <w:sz w:val="21"/>
              </w:rPr>
              <w:t>乙方须向甲方提供依法纳税的服务费发票。</w:t>
            </w:r>
          </w:p>
          <w:p>
            <w:pPr>
              <w:numPr>
                <w:ilvl w:val="0"/>
                <w:numId w:val="1"/>
              </w:numPr>
              <w:jc w:val="left"/>
            </w:pPr>
            <w:r>
              <w:rPr>
                <w:color w:val="000000"/>
                <w:sz w:val="21"/>
              </w:rPr>
              <w:t>服务费以转账方式转入乙方的银行账户。</w:t>
            </w:r>
          </w:p>
          <w:p>
            <w:pPr>
              <w:numPr>
                <w:ilvl w:val="0"/>
                <w:numId w:val="1"/>
              </w:numPr>
              <w:jc w:val="left"/>
            </w:pPr>
            <w:r>
              <w:rPr>
                <w:color w:val="000000"/>
                <w:sz w:val="21"/>
              </w:rPr>
              <w:t>收款方、出具发票方、合同乙方均必须与中标（成交）供应商名称一致。</w:t>
            </w:r>
          </w:p>
        </w:tc>
      </w:tr>
      <w:tr>
        <w:tc>
          <w:tcPr>
            <w:tcW w:type="dxa" w:w="670"/>
            <w:tcBorders>
              <w:top w:val="none" w:color="000000" w:sz="4"/>
              <w:left w:val="single" w:color="000000" w:sz="4"/>
              <w:bottom w:val="single" w:color="000000" w:sz="4"/>
              <w:right w:val="single" w:color="000000" w:sz="4"/>
            </w:tcBorders>
            <w:vAlign w:val="top"/>
          </w:tcPr>
          <w:p>
            <w:pPr>
              <w:numPr>
                <w:ilvl w:val="0"/>
                <w:numId w:val="2"/>
              </w:numPr>
              <w:jc w:val="center"/>
            </w:pPr>
          </w:p>
        </w:tc>
        <w:tc>
          <w:tcPr>
            <w:tcW w:type="dxa" w:w="1437"/>
            <w:tcBorders>
              <w:top w:val="none" w:color="000000" w:sz="4"/>
              <w:left w:val="none" w:color="000000" w:sz="4"/>
              <w:bottom w:val="single" w:color="000000" w:sz="4"/>
              <w:right w:val="single" w:color="000000" w:sz="4"/>
            </w:tcBorders>
            <w:vAlign w:val="top"/>
          </w:tcPr>
          <w:p>
            <w:pPr>
              <w:jc w:val="center"/>
            </w:pPr>
            <w:r>
              <w:rPr>
                <w:b/>
                <w:color w:val="000000"/>
                <w:sz w:val="21"/>
              </w:rPr>
              <w:t>……</w:t>
            </w:r>
          </w:p>
        </w:tc>
        <w:tc>
          <w:tcPr>
            <w:tcW w:type="dxa" w:w="6198"/>
            <w:tcBorders>
              <w:top w:val="none" w:color="000000" w:sz="4"/>
              <w:left w:val="none" w:color="000000" w:sz="4"/>
              <w:bottom w:val="single" w:color="000000" w:sz="4"/>
              <w:right w:val="single" w:color="000000" w:sz="4"/>
            </w:tcBorders>
            <w:vAlign w:val="top"/>
          </w:tcPr>
          <w:p>
            <w:pPr>
              <w:jc w:val="left"/>
            </w:pPr>
          </w:p>
        </w:tc>
      </w:tr>
    </w:tbl>
    <w:p/>
    <w:p>
      <w:r>
        <w:rPr>
          <w:b/>
          <w:color w:val="000000"/>
          <w:sz w:val="24"/>
        </w:rPr>
        <w:t>四、</w:t>
      </w:r>
      <w:r>
        <w:rPr>
          <w:b/>
          <w:color w:val="000000"/>
          <w:sz w:val="24"/>
        </w:rPr>
        <w:t>服务对照执行标准：</w:t>
      </w:r>
    </w:p>
    <w:p>
      <w:r>
        <w:rPr>
          <w:color w:val="000000"/>
          <w:sz w:val="24"/>
        </w:rPr>
        <w:t>1.符合中华人民共和国国家和履约地相关安全质量标准、行业技术规范标准；</w:t>
      </w:r>
    </w:p>
    <w:p>
      <w:r>
        <w:rPr>
          <w:color w:val="000000"/>
          <w:sz w:val="24"/>
        </w:rPr>
        <w:t>2</w:t>
      </w:r>
      <w:r>
        <w:rPr>
          <w:color w:val="000000"/>
          <w:sz w:val="24"/>
        </w:rPr>
        <w:t>.符合采购文件和响应承诺中各方共同认可的合理要求；</w:t>
      </w:r>
    </w:p>
    <w:p>
      <w:r>
        <w:rPr>
          <w:color w:val="000000"/>
          <w:sz w:val="24"/>
        </w:rPr>
        <w:t>上述各类标准与法规必须是有关官方机构最新发布的现行标准版本。</w:t>
      </w:r>
    </w:p>
    <w:p>
      <w:r>
        <w:rPr>
          <w:b/>
          <w:color w:val="000000"/>
          <w:sz w:val="24"/>
        </w:rPr>
        <w:t>五、</w:t>
      </w:r>
      <w:r>
        <w:rPr>
          <w:b/>
          <w:color w:val="000000"/>
          <w:sz w:val="24"/>
        </w:rPr>
        <w:t>投诉跟踪服务要求：</w:t>
      </w:r>
    </w:p>
    <w:p>
      <w:r>
        <w:rPr>
          <w:color w:val="000000"/>
          <w:sz w:val="24"/>
        </w:rPr>
        <w:t>1.乙方须提供常设的投诉热线服务，并对投诉内容进行及时跟踪、回访。对甲方的投诉与通知，必须按甲方指定的时间内处理完毕，若特发事件不能在短时间内解决，乙方必须采取应急措施，或按甲方认可的应急方案执行，不得影响甲方的正常工作业务。</w:t>
      </w:r>
    </w:p>
    <w:p>
      <w:r>
        <w:rPr>
          <w:color w:val="000000"/>
          <w:sz w:val="24"/>
        </w:rPr>
        <w:t>2</w:t>
      </w:r>
      <w:r>
        <w:rPr>
          <w:color w:val="000000"/>
          <w:sz w:val="24"/>
        </w:rPr>
        <w:t>.服务期内，甲方有权按本项目的管理要求对乙方进行不定期抽查检查，若对不合格的管理服务提出警告后，仍未得到有效解决时，甲方有权终止管理合同。</w:t>
      </w:r>
    </w:p>
    <w:p>
      <w:r>
        <w:rPr>
          <w:color w:val="000000"/>
          <w:sz w:val="24"/>
        </w:rPr>
        <w:t>3</w:t>
      </w:r>
      <w:r>
        <w:rPr>
          <w:color w:val="000000"/>
          <w:sz w:val="24"/>
        </w:rPr>
        <w:t>.乙方服务机构名称及地址：</w:t>
      </w:r>
    </w:p>
    <w:p>
      <w:r>
        <w:rPr>
          <w:color w:val="000000"/>
          <w:sz w:val="24"/>
        </w:rPr>
        <w:t>服务机构名称：</w:t>
      </w:r>
    </w:p>
    <w:p>
      <w:r>
        <w:rPr>
          <w:color w:val="000000"/>
          <w:sz w:val="24"/>
        </w:rPr>
        <w:t>地址：</w:t>
      </w:r>
    </w:p>
    <w:p>
      <w:r>
        <w:rPr>
          <w:color w:val="000000"/>
          <w:sz w:val="24"/>
        </w:rPr>
        <w:t>联系人</w:t>
      </w:r>
      <w:r>
        <w:rPr>
          <w:color w:val="000000"/>
          <w:sz w:val="24"/>
        </w:rPr>
        <w:t>1：</w:t>
      </w:r>
      <w:r>
        <w:rPr>
          <w:color w:val="000000"/>
          <w:sz w:val="24"/>
        </w:rPr>
        <w:t>_</w:t>
      </w:r>
      <w:r>
        <w:rPr>
          <w:color w:val="000000"/>
          <w:sz w:val="24"/>
        </w:rPr>
        <w:t>__，联系电话：</w:t>
      </w:r>
      <w:r>
        <w:rPr>
          <w:color w:val="000000"/>
          <w:sz w:val="24"/>
        </w:rPr>
        <w:t>_</w:t>
      </w:r>
      <w:r>
        <w:rPr>
          <w:color w:val="000000"/>
          <w:sz w:val="24"/>
        </w:rPr>
        <w:t>__，手机：</w:t>
      </w:r>
      <w:r>
        <w:rPr>
          <w:color w:val="000000"/>
          <w:sz w:val="24"/>
        </w:rPr>
        <w:t>_</w:t>
      </w:r>
      <w:r>
        <w:rPr>
          <w:color w:val="000000"/>
          <w:sz w:val="24"/>
        </w:rPr>
        <w:t>__；</w:t>
      </w:r>
    </w:p>
    <w:p>
      <w:r>
        <w:rPr>
          <w:color w:val="000000"/>
          <w:sz w:val="24"/>
        </w:rPr>
        <w:t>联系人</w:t>
      </w:r>
      <w:r>
        <w:rPr>
          <w:color w:val="000000"/>
          <w:sz w:val="24"/>
        </w:rPr>
        <w:t>2：</w:t>
      </w:r>
      <w:r>
        <w:rPr>
          <w:color w:val="000000"/>
          <w:sz w:val="24"/>
        </w:rPr>
        <w:t>_</w:t>
      </w:r>
      <w:r>
        <w:rPr>
          <w:color w:val="000000"/>
          <w:sz w:val="24"/>
        </w:rPr>
        <w:t>__，联系电话：</w:t>
      </w:r>
      <w:r>
        <w:rPr>
          <w:color w:val="000000"/>
          <w:sz w:val="24"/>
        </w:rPr>
        <w:t>_</w:t>
      </w:r>
      <w:r>
        <w:rPr>
          <w:color w:val="000000"/>
          <w:sz w:val="24"/>
        </w:rPr>
        <w:t>__，手机：</w:t>
      </w:r>
      <w:r>
        <w:rPr>
          <w:color w:val="000000"/>
          <w:sz w:val="24"/>
        </w:rPr>
        <w:t>_</w:t>
      </w:r>
      <w:r>
        <w:rPr>
          <w:color w:val="000000"/>
          <w:sz w:val="24"/>
        </w:rPr>
        <w:t>__；</w:t>
      </w:r>
    </w:p>
    <w:p>
      <w:r>
        <w:rPr>
          <w:color w:val="000000"/>
          <w:sz w:val="24"/>
        </w:rPr>
        <w:t>服务专线电话：</w:t>
      </w:r>
      <w:r>
        <w:rPr>
          <w:color w:val="000000"/>
          <w:sz w:val="24"/>
        </w:rPr>
        <w:t>_</w:t>
      </w:r>
      <w:r>
        <w:rPr>
          <w:color w:val="000000"/>
          <w:sz w:val="24"/>
        </w:rPr>
        <w:t>__</w:t>
      </w:r>
    </w:p>
    <w:p>
      <w:r>
        <w:rPr>
          <w:b/>
          <w:color w:val="000000"/>
          <w:sz w:val="24"/>
        </w:rPr>
        <w:t>六、</w:t>
      </w:r>
      <w:r>
        <w:rPr>
          <w:b/>
          <w:color w:val="000000"/>
          <w:sz w:val="24"/>
        </w:rPr>
        <w:t>验收要求：</w:t>
      </w:r>
    </w:p>
    <w:p>
      <w:pPr>
        <w:jc w:val="both"/>
      </w:pPr>
      <w:r>
        <w:rPr>
          <w:color w:val="000000"/>
          <w:sz w:val="24"/>
        </w:rPr>
        <w:t>1.验收的主要依据包括本项目采购需求书、磋商响应文件、合同文件、采购文件，以及设计方案。</w:t>
      </w:r>
    </w:p>
    <w:p>
      <w:pPr>
        <w:jc w:val="both"/>
      </w:pPr>
      <w:r>
        <w:rPr>
          <w:color w:val="000000"/>
          <w:sz w:val="24"/>
        </w:rPr>
        <w:t>2.项目所有工作内容完成以后，由乙方提交验收申请，由甲方组织验收小组，负责对项目进行全面验收，项目验收依次序对照执行标准为：①符合中华人民共和国国家和履约地相关安全质量标准、行业技术规范标准；②符合采购文件和响应承诺中各方共同认可的各项要求；③双方约定的其他验收标准</w:t>
      </w:r>
      <w:r>
        <w:rPr>
          <w:color w:val="000000"/>
          <w:sz w:val="24"/>
        </w:rPr>
        <w:t>。</w:t>
      </w:r>
    </w:p>
    <w:p>
      <w:r>
        <w:rPr>
          <w:color w:val="000000"/>
          <w:sz w:val="24"/>
        </w:rPr>
        <w:t>3.在甲方的监督下，服务过程中的各项工作和文档，须达到采购文件中技术要求的标准。</w:t>
      </w:r>
    </w:p>
    <w:p>
      <w:r>
        <w:rPr>
          <w:b/>
          <w:color w:val="000000"/>
          <w:sz w:val="24"/>
        </w:rPr>
        <w:t>七、</w:t>
      </w:r>
      <w:r>
        <w:rPr>
          <w:b/>
          <w:color w:val="000000"/>
          <w:sz w:val="24"/>
        </w:rPr>
        <w:t>知识产权和</w:t>
      </w:r>
      <w:r>
        <w:rPr>
          <w:b/>
          <w:color w:val="000000"/>
          <w:sz w:val="24"/>
        </w:rPr>
        <w:t>保密要求：</w:t>
      </w:r>
    </w:p>
    <w:p>
      <w:pPr>
        <w:jc w:val="both"/>
      </w:pPr>
      <w:r>
        <w:rPr>
          <w:color w:val="000000"/>
          <w:sz w:val="24"/>
        </w:rPr>
        <w:t>1. 乙方为甲方运维服务系统的知识产权归甲方所有。甲方有权对所拥有系统进行修改。</w:t>
      </w:r>
    </w:p>
    <w:p>
      <w:r>
        <w:rPr>
          <w:color w:val="000000"/>
          <w:sz w:val="24"/>
        </w:rPr>
        <w:t>2. 乙方在系统中应用第三方软件，必须是授权产品，如发生知识产权的纠纷，乙方负担全部责任，与甲方无关。</w:t>
      </w:r>
    </w:p>
    <w:p>
      <w:pPr>
        <w:jc w:val="both"/>
      </w:pPr>
      <w:r>
        <w:rPr>
          <w:color w:val="000000"/>
          <w:sz w:val="24"/>
        </w:rPr>
        <w:t>3. 本项目中涉及甲乙双方的一切技术资料、技术情报（包括技术信息和经营信息）、应用单位数据等均属保密材料，双方均承担保密义务，未经允许不得向第三方传泄。不论本合同是否变更、解除或终止，本条款均仍有效。</w:t>
      </w:r>
    </w:p>
    <w:p>
      <w:r>
        <w:rPr>
          <w:b/>
          <w:color w:val="000000"/>
          <w:sz w:val="24"/>
        </w:rPr>
        <w:t>八、</w:t>
      </w:r>
      <w:r>
        <w:rPr>
          <w:b/>
          <w:color w:val="000000"/>
          <w:sz w:val="24"/>
        </w:rPr>
        <w:t>违约责任：</w:t>
      </w:r>
    </w:p>
    <w:p>
      <w:r>
        <w:rPr>
          <w:color w:val="000000"/>
          <w:sz w:val="24"/>
        </w:rPr>
        <w:t>1</w:t>
      </w:r>
      <w:r>
        <w:rPr>
          <w:color w:val="000000"/>
          <w:sz w:val="24"/>
        </w:rPr>
        <w:t>.乙方未按要求履行合同义务时，须从违约之日起每日按合同总额的2‰比例向甲方支付违约金；逾期15日以上时，甲方有权终止合同，</w:t>
      </w:r>
      <w:r>
        <w:rPr>
          <w:color w:val="000000"/>
          <w:sz w:val="24"/>
        </w:rPr>
        <w:t>已付的款项乙方应当退还，未付款项甲方不再承担支付义务，乙方应从违约之日起每日按合同总额的</w:t>
      </w:r>
      <w:r>
        <w:rPr>
          <w:color w:val="000000"/>
          <w:sz w:val="24"/>
        </w:rPr>
        <w:t>2‰比例向甲方支付违约金，</w:t>
      </w:r>
      <w:r>
        <w:rPr>
          <w:color w:val="000000"/>
          <w:sz w:val="24"/>
        </w:rPr>
        <w:t>由此造成甲方的经济损失由乙方承担。违约金不足以弥补损失的，乙方应按全额赔偿</w:t>
      </w:r>
      <w:r>
        <w:rPr>
          <w:color w:val="000000"/>
          <w:sz w:val="24"/>
        </w:rPr>
        <w:t>。</w:t>
      </w:r>
    </w:p>
    <w:p>
      <w:r>
        <w:rPr>
          <w:color w:val="000000"/>
          <w:sz w:val="24"/>
        </w:rPr>
        <w:t>2</w:t>
      </w:r>
      <w:r>
        <w:rPr>
          <w:color w:val="000000"/>
          <w:sz w:val="24"/>
        </w:rPr>
        <w:t>.甲方未按要求履行合同义务时，或无故拖延验收、付款时，甲方须向乙方支付滞纳金，标准为每日按逾期应付款总额的2‰累计</w:t>
      </w:r>
      <w:r>
        <w:rPr>
          <w:color w:val="000000"/>
          <w:sz w:val="24"/>
        </w:rPr>
        <w:t>。</w:t>
      </w:r>
    </w:p>
    <w:p>
      <w:r>
        <w:rPr>
          <w:b/>
          <w:color w:val="000000"/>
          <w:sz w:val="24"/>
        </w:rPr>
        <w:t>九、</w:t>
      </w:r>
      <w:r>
        <w:rPr>
          <w:b/>
          <w:color w:val="000000"/>
          <w:sz w:val="24"/>
        </w:rPr>
        <w:t>提出异议的时间和方法：</w:t>
      </w:r>
    </w:p>
    <w:p>
      <w:r>
        <w:rPr>
          <w:color w:val="000000"/>
          <w:sz w:val="24"/>
        </w:rPr>
        <w:t>1</w:t>
      </w:r>
      <w:r>
        <w:rPr>
          <w:color w:val="000000"/>
          <w:sz w:val="24"/>
        </w:rPr>
        <w:t>.甲方有异议时，应天内向乙方提出书面异议。</w:t>
      </w:r>
    </w:p>
    <w:p>
      <w:r>
        <w:rPr>
          <w:color w:val="000000"/>
          <w:sz w:val="24"/>
        </w:rPr>
        <w:t>2</w:t>
      </w:r>
      <w:r>
        <w:rPr>
          <w:color w:val="000000"/>
          <w:sz w:val="24"/>
        </w:rPr>
        <w:t>.乙方在接到甲方书面异议后，应在3天内负责处理并函复甲方处理情况，否则，即视为默认甲方提出的异议和处理意见。</w:t>
      </w:r>
    </w:p>
    <w:p>
      <w:r>
        <w:rPr>
          <w:color w:val="000000"/>
          <w:sz w:val="24"/>
        </w:rPr>
        <w:t>3</w:t>
      </w:r>
      <w:r>
        <w:rPr>
          <w:color w:val="000000"/>
          <w:sz w:val="24"/>
        </w:rPr>
        <w:t>.乙方利用专业技术和行业信息优势之便，以不道德的手段，故意隐瞒和掩盖自身缔约过失，违背投标（响应）承诺和未尽义务，损害了甲方的合法权益，甲方在任何时候均可追究乙方的违约责任并索取赔偿，且不受验收程序、服务期和合同时效的限制。</w:t>
      </w:r>
    </w:p>
    <w:p>
      <w:r>
        <w:rPr>
          <w:b/>
          <w:color w:val="000000"/>
          <w:sz w:val="24"/>
        </w:rPr>
        <w:t>十、</w:t>
      </w:r>
      <w:r>
        <w:rPr>
          <w:b/>
          <w:color w:val="000000"/>
          <w:sz w:val="24"/>
        </w:rPr>
        <w:t>争议的解决：</w:t>
      </w:r>
    </w:p>
    <w:p>
      <w:r>
        <w:rPr>
          <w:color w:val="000000"/>
          <w:sz w:val="24"/>
        </w:rPr>
        <w:t>1</w:t>
      </w:r>
      <w:r>
        <w:rPr>
          <w:color w:val="000000"/>
          <w:sz w:val="24"/>
        </w:rPr>
        <w:t>.合同履行过程中发生的任何争议，如双方未能通过友好协商解决，应向佛山市有管辖权的人民法院提起诉讼。</w:t>
      </w:r>
    </w:p>
    <w:p>
      <w:r>
        <w:rPr>
          <w:color w:val="000000"/>
          <w:sz w:val="24"/>
        </w:rPr>
        <w:t>2</w:t>
      </w:r>
      <w:r>
        <w:rPr>
          <w:color w:val="000000"/>
          <w:sz w:val="24"/>
        </w:rPr>
        <w:t>.法院审理期间，除提交法院审理的事项外，其它无争议的事项和条款仍应继续履行。</w:t>
      </w:r>
    </w:p>
    <w:p>
      <w:r>
        <w:rPr>
          <w:b/>
          <w:color w:val="000000"/>
          <w:sz w:val="24"/>
        </w:rPr>
        <w:t>十一、</w:t>
      </w:r>
      <w:r>
        <w:rPr>
          <w:b/>
          <w:color w:val="000000"/>
          <w:sz w:val="24"/>
        </w:rPr>
        <w:t>不可抗力：</w:t>
      </w:r>
    </w:p>
    <w:p>
      <w:r>
        <w:rPr>
          <w:color w:val="000000"/>
          <w:sz w:val="24"/>
        </w:rPr>
        <w:t>任何一方由于不可抗力原因不能履行合同时，应在不可抗力事件结束后</w:t>
      </w:r>
      <w:r>
        <w:rPr>
          <w:color w:val="000000"/>
          <w:sz w:val="24"/>
        </w:rPr>
        <w:t>48小时内向对方通报，以减轻可能给对方造成的损失，在取得有关机构的不可抗力证明或双方谅解确认后，允许延期履行或修订合同，并根据情况可部分或全部免于承担违约责任。</w:t>
      </w:r>
    </w:p>
    <w:p>
      <w:r>
        <w:rPr>
          <w:b/>
          <w:color w:val="000000"/>
          <w:sz w:val="24"/>
        </w:rPr>
        <w:t>十二、</w:t>
      </w:r>
      <w:r>
        <w:rPr>
          <w:b/>
          <w:color w:val="000000"/>
          <w:sz w:val="24"/>
        </w:rPr>
        <w:t>税费：</w:t>
      </w:r>
    </w:p>
    <w:p>
      <w:r>
        <w:rPr>
          <w:color w:val="000000"/>
          <w:sz w:val="24"/>
        </w:rPr>
        <w:t>1</w:t>
      </w:r>
      <w:r>
        <w:rPr>
          <w:color w:val="000000"/>
          <w:sz w:val="24"/>
        </w:rPr>
        <w:t>.本合同实施过程中所发生的一切税费及不可预见费均由乙方承担。</w:t>
      </w:r>
    </w:p>
    <w:p>
      <w:r>
        <w:rPr>
          <w:color w:val="000000"/>
          <w:sz w:val="24"/>
        </w:rPr>
        <w:t>2</w:t>
      </w:r>
      <w:r>
        <w:rPr>
          <w:color w:val="000000"/>
          <w:sz w:val="24"/>
        </w:rPr>
        <w:t>.乙方依照税务规章优先在合同履约地开具发票及纳税，咨询：0757-12366。</w:t>
      </w:r>
    </w:p>
    <w:p>
      <w:r>
        <w:rPr>
          <w:b/>
          <w:color w:val="000000"/>
          <w:sz w:val="24"/>
        </w:rPr>
        <w:t>十三、</w:t>
      </w:r>
      <w:r>
        <w:rPr>
          <w:b/>
          <w:color w:val="000000"/>
          <w:sz w:val="24"/>
        </w:rPr>
        <w:t>合同生效与合同备案：</w:t>
      </w:r>
    </w:p>
    <w:p>
      <w:r>
        <w:rPr>
          <w:color w:val="000000"/>
          <w:sz w:val="24"/>
        </w:rPr>
        <w:t>1</w:t>
      </w:r>
      <w:r>
        <w:rPr>
          <w:color w:val="000000"/>
          <w:sz w:val="24"/>
        </w:rPr>
        <w:t>.本合同在甲乙双方法人代表或其授权代表签字盖章后生效。</w:t>
      </w:r>
    </w:p>
    <w:p>
      <w:r>
        <w:rPr>
          <w:color w:val="000000"/>
          <w:sz w:val="24"/>
        </w:rPr>
        <w:t>2</w:t>
      </w:r>
      <w:r>
        <w:rPr>
          <w:color w:val="000000"/>
          <w:sz w:val="24"/>
        </w:rPr>
        <w:t>.自采购合同签订之日起7个工作日内，由甲方按照有关规定将采购合同副本报同级人民政府财政部门（政府采购管理部门）备案。</w:t>
      </w:r>
    </w:p>
    <w:p>
      <w:r>
        <w:rPr>
          <w:b/>
          <w:color w:val="000000"/>
          <w:sz w:val="24"/>
        </w:rPr>
        <w:t>十四、</w:t>
      </w:r>
      <w:r>
        <w:rPr>
          <w:b/>
          <w:color w:val="000000"/>
          <w:sz w:val="24"/>
        </w:rPr>
        <w:t>关于政府采购合同融资</w:t>
      </w:r>
    </w:p>
    <w:p>
      <w:r>
        <w:rPr>
          <w:color w:val="000000"/>
          <w:sz w:val="24"/>
        </w:rPr>
        <w:t>1</w:t>
      </w:r>
      <w:r>
        <w:rPr>
          <w:color w:val="000000"/>
          <w:sz w:val="24"/>
        </w:rPr>
        <w:t>.乙方是否已申请政府采购合同融资：</w:t>
      </w:r>
      <w:r>
        <w:rPr>
          <w:color w:val="000000"/>
          <w:sz w:val="24"/>
          <w:u w:val="single"/>
        </w:rPr>
        <w:t>是</w:t>
      </w:r>
      <w:r>
        <w:rPr>
          <w:color w:val="000000"/>
          <w:sz w:val="24"/>
          <w:u w:val="single"/>
        </w:rPr>
        <w:t xml:space="preserve"> / 否</w:t>
      </w:r>
      <w:r>
        <w:rPr>
          <w:color w:val="000000"/>
          <w:sz w:val="24"/>
        </w:rPr>
        <w:t>；</w:t>
      </w:r>
    </w:p>
    <w:p>
      <w:r>
        <w:rPr>
          <w:color w:val="000000"/>
          <w:sz w:val="24"/>
        </w:rPr>
        <w:t>2</w:t>
      </w:r>
      <w:r>
        <w:rPr>
          <w:color w:val="000000"/>
          <w:sz w:val="24"/>
        </w:rPr>
        <w:t>.融资银行及联系方式：</w:t>
      </w:r>
      <w:r>
        <w:rPr>
          <w:color w:val="000000"/>
          <w:sz w:val="24"/>
        </w:rPr>
        <w:t>_</w:t>
      </w:r>
      <w:r>
        <w:rPr>
          <w:color w:val="000000"/>
          <w:sz w:val="24"/>
        </w:rPr>
        <w:t>___。</w:t>
      </w:r>
    </w:p>
    <w:p>
      <w:r>
        <w:rPr>
          <w:color w:val="000000"/>
          <w:sz w:val="24"/>
        </w:rPr>
        <w:t>3</w:t>
      </w:r>
      <w:r>
        <w:rPr>
          <w:color w:val="000000"/>
          <w:sz w:val="24"/>
        </w:rPr>
        <w:t>.若乙方已申请政府采购合同融资，其在本合同中登记的银行帐号应与金融机构签订融资协议中约定的融资回款账户一致，此账户作为政府采购融资合同资金回款的唯一账户，未获得融资银行同意，乙方不得随意变更</w:t>
      </w:r>
      <w:r>
        <w:rPr>
          <w:b/>
          <w:color w:val="000000"/>
          <w:sz w:val="24"/>
        </w:rPr>
        <w:t>。</w:t>
      </w:r>
    </w:p>
    <w:p>
      <w:r>
        <w:rPr>
          <w:b/>
          <w:color w:val="000000"/>
          <w:sz w:val="24"/>
        </w:rPr>
        <w:t>十五、</w:t>
      </w:r>
      <w:r>
        <w:rPr>
          <w:b/>
          <w:color w:val="000000"/>
          <w:sz w:val="24"/>
        </w:rPr>
        <w:t>其它：</w:t>
      </w:r>
    </w:p>
    <w:p>
      <w:r>
        <w:rPr>
          <w:color w:val="000000"/>
          <w:sz w:val="24"/>
        </w:rPr>
        <w:t>1</w:t>
      </w:r>
      <w:r>
        <w:rPr>
          <w:color w:val="000000"/>
          <w:sz w:val="24"/>
        </w:rPr>
        <w:t>.所有经一方或双方签署确认的文件（包括会议纪要、补充协议、往来信函）、采购文件、要约文件和响应承诺文件、合同附件及</w:t>
      </w:r>
      <w:r>
        <w:rPr>
          <w:color w:val="000000"/>
          <w:sz w:val="24"/>
        </w:rPr>
        <w:t>中标（成交）通知书</w:t>
      </w:r>
      <w:r>
        <w:rPr>
          <w:color w:val="000000"/>
          <w:sz w:val="24"/>
        </w:rPr>
        <w:t>均为本合同不可分割的有效组成部分，与本合同具有同等的法律效力和履约义务，其缔约生效日期为有效签署或盖章确认之日期。</w:t>
      </w:r>
    </w:p>
    <w:p>
      <w:r>
        <w:rPr>
          <w:color w:val="000000"/>
          <w:sz w:val="24"/>
        </w:rPr>
        <w:t>2</w:t>
      </w:r>
      <w:r>
        <w:rPr>
          <w:color w:val="000000"/>
          <w:sz w:val="24"/>
        </w:rPr>
        <w:t>.如一方（包括联系人）地址、电话、传真号码有变更，应在变更后3个工作日内书面通知对方联系人或负责人，否则，因此造成的损失由未履行通知义务方承担相应责任。</w:t>
      </w:r>
    </w:p>
    <w:p>
      <w:r>
        <w:rPr>
          <w:color w:val="000000"/>
          <w:sz w:val="24"/>
        </w:rPr>
        <w:t>3</w:t>
      </w:r>
      <w:r>
        <w:rPr>
          <w:color w:val="000000"/>
          <w:sz w:val="24"/>
        </w:rPr>
        <w:t>.未经甲方书面同意，乙方不得擅自向第三方转让其主体性和关键性合同义务。</w:t>
      </w:r>
    </w:p>
    <w:p>
      <w:r>
        <w:rPr>
          <w:color w:val="000000"/>
          <w:sz w:val="24"/>
        </w:rPr>
        <w:t>4</w:t>
      </w:r>
      <w:r>
        <w:rPr>
          <w:color w:val="000000"/>
          <w:sz w:val="24"/>
        </w:rPr>
        <w:t>.本合同一式</w:t>
      </w:r>
      <w:r>
        <w:rPr>
          <w:color w:val="000000"/>
          <w:sz w:val="24"/>
        </w:rPr>
        <w:t>_</w:t>
      </w:r>
      <w:r>
        <w:rPr>
          <w:color w:val="000000"/>
          <w:sz w:val="24"/>
        </w:rPr>
        <w:t>___份，甲方执</w:t>
      </w:r>
      <w:r>
        <w:rPr>
          <w:color w:val="000000"/>
          <w:sz w:val="24"/>
        </w:rPr>
        <w:t>_</w:t>
      </w:r>
      <w:r>
        <w:rPr>
          <w:color w:val="000000"/>
          <w:sz w:val="24"/>
        </w:rPr>
        <w:t>__份，乙方执</w:t>
      </w:r>
      <w:r>
        <w:rPr>
          <w:color w:val="000000"/>
          <w:sz w:val="24"/>
        </w:rPr>
        <w:t>_</w:t>
      </w:r>
      <w:r>
        <w:rPr>
          <w:color w:val="000000"/>
          <w:sz w:val="24"/>
        </w:rPr>
        <w:t>__份</w:t>
      </w:r>
      <w:r>
        <w:rPr>
          <w:color w:val="000000"/>
          <w:sz w:val="24"/>
        </w:rPr>
        <w:t>，广东省机电设备招标有限公司</w:t>
      </w:r>
      <w:r>
        <w:rPr>
          <w:color w:val="000000"/>
          <w:sz w:val="24"/>
        </w:rPr>
        <w:t>1份</w:t>
      </w:r>
      <w:r>
        <w:rPr>
          <w:color w:val="000000"/>
          <w:sz w:val="24"/>
        </w:rPr>
        <w:t>。</w:t>
      </w:r>
    </w:p>
    <w:p>
      <w:r>
        <w:rPr>
          <w:color w:val="000000"/>
          <w:sz w:val="24"/>
        </w:rPr>
        <w:t>5</w:t>
      </w:r>
      <w:r>
        <w:rPr>
          <w:color w:val="000000"/>
          <w:sz w:val="24"/>
        </w:rPr>
        <w:t>.本合同（含附件）共计</w:t>
      </w:r>
      <w:r>
        <w:rPr>
          <w:color w:val="000000"/>
          <w:sz w:val="24"/>
        </w:rPr>
        <w:t>_</w:t>
      </w:r>
      <w:r>
        <w:rPr>
          <w:color w:val="000000"/>
          <w:sz w:val="24"/>
        </w:rPr>
        <w:t>___页，缺页之合同为无效合同。</w:t>
      </w:r>
    </w:p>
    <w:p>
      <w:r>
        <w:rPr>
          <w:color w:val="000000"/>
          <w:sz w:val="24"/>
        </w:rPr>
        <w:t>6</w:t>
      </w:r>
      <w:r>
        <w:rPr>
          <w:color w:val="000000"/>
          <w:sz w:val="24"/>
        </w:rPr>
        <w:t>.本合同签约履约地点：广东省佛山市。</w:t>
      </w:r>
    </w:p>
    <w:p>
      <w:r>
        <w:rPr>
          <w:color w:val="000000"/>
          <w:sz w:val="24"/>
        </w:rPr>
        <w:t>7.本合同所指“书面通知”包括但不限于短信、电子邮件等数据电文的通知形式，到达时间以民事诉讼法的规定为准，但进行书面通知前后，通知方均有义务电话确认通知事项。</w:t>
      </w:r>
    </w:p>
    <w:p>
      <w:r>
        <w:rPr>
          <w:color w:val="000000"/>
          <w:sz w:val="24"/>
        </w:rPr>
        <w:t>8</w:t>
      </w:r>
      <w:r>
        <w:rPr>
          <w:color w:val="000000"/>
          <w:sz w:val="24"/>
        </w:rPr>
        <w:t>.双方均已对以上各条款及附件作充分了解，并明确理解由此而产生的相关权责。</w:t>
      </w:r>
    </w:p>
    <w:p/>
    <w:tbl>
      <w:tblPr>
        <w:tblW w:w="0" w:type="auto"/>
        <w:tblBorders>
          <w:top w:val="none" w:color="000000" w:sz="4"/>
          <w:left w:val="none" w:color="000000" w:sz="4"/>
          <w:bottom w:val="none" w:color="000000" w:sz="4"/>
          <w:right w:val="none" w:color="000000" w:sz="4"/>
          <w:insideH w:val="none"/>
          <w:insideV w:val="none"/>
        </w:tblBorders>
      </w:tblPr>
      <w:tblGrid>
        <w:gridCol w:w="4205"/>
        <w:gridCol w:w="3930"/>
        <w:gridCol w:w="143"/>
      </w:tblGrid>
      <w:tr>
        <w:tc>
          <w:tcPr>
            <w:tcW w:type="dxa" w:w="4205"/>
            <w:tcBorders>
              <w:top w:val="none" w:color="000000" w:sz="4"/>
              <w:left w:val="none" w:color="000000" w:sz="4"/>
              <w:bottom w:val="none" w:color="000000" w:sz="4"/>
              <w:right w:val="dashed" w:color="000000" w:sz="4"/>
            </w:tcBorders>
            <w:vAlign w:val="top"/>
          </w:tcPr>
          <w:p>
            <w:r>
              <w:rPr>
                <w:b/>
                <w:color w:val="000000"/>
                <w:sz w:val="21"/>
              </w:rPr>
              <w:t>甲方（盖章）：</w:t>
            </w:r>
          </w:p>
          <w:p>
            <w:r>
              <w:rPr>
                <w:color w:val="000000"/>
                <w:sz w:val="21"/>
              </w:rPr>
              <w:t>代表：</w:t>
            </w:r>
          </w:p>
          <w:p>
            <w:r>
              <w:rPr>
                <w:color w:val="000000"/>
                <w:sz w:val="21"/>
              </w:rPr>
              <w:t>地址：</w:t>
            </w:r>
          </w:p>
          <w:p>
            <w:r>
              <w:rPr>
                <w:color w:val="000000"/>
                <w:sz w:val="21"/>
              </w:rPr>
              <w:t>电话：</w:t>
            </w:r>
          </w:p>
          <w:p>
            <w:r>
              <w:rPr>
                <w:color w:val="000000"/>
                <w:sz w:val="21"/>
              </w:rPr>
              <w:t>传真：</w:t>
            </w:r>
          </w:p>
          <w:p>
            <w:r>
              <w:rPr>
                <w:color w:val="000000"/>
                <w:sz w:val="21"/>
              </w:rPr>
              <w:t>日期：年月日</w:t>
            </w:r>
          </w:p>
        </w:tc>
        <w:tc>
          <w:tcPr>
            <w:tcW w:type="dxa" w:w="3930"/>
            <w:tcBorders>
              <w:top w:val="none" w:color="000000" w:sz="4"/>
              <w:left w:val="none" w:color="000000" w:sz="4"/>
              <w:bottom w:val="none" w:color="000000" w:sz="4"/>
              <w:right w:val="none" w:color="000000" w:sz="4"/>
            </w:tcBorders>
            <w:vAlign w:val="top"/>
          </w:tcPr>
          <w:p>
            <w:r>
              <w:rPr>
                <w:b/>
                <w:color w:val="000000"/>
                <w:sz w:val="21"/>
              </w:rPr>
              <w:t>乙方（盖章）：</w:t>
            </w:r>
          </w:p>
          <w:p>
            <w:r>
              <w:rPr>
                <w:color w:val="000000"/>
                <w:sz w:val="21"/>
              </w:rPr>
              <w:t>代表：</w:t>
            </w:r>
          </w:p>
          <w:p>
            <w:r>
              <w:rPr>
                <w:color w:val="000000"/>
                <w:sz w:val="21"/>
              </w:rPr>
              <w:t>地址：</w:t>
            </w:r>
          </w:p>
          <w:p>
            <w:r>
              <w:rPr>
                <w:color w:val="000000"/>
                <w:sz w:val="21"/>
              </w:rPr>
              <w:t>电话：</w:t>
            </w:r>
          </w:p>
          <w:p>
            <w:r>
              <w:rPr>
                <w:color w:val="000000"/>
                <w:sz w:val="21"/>
              </w:rPr>
              <w:t>传真：</w:t>
            </w:r>
          </w:p>
          <w:p>
            <w:r>
              <w:rPr>
                <w:color w:val="000000"/>
                <w:sz w:val="21"/>
              </w:rPr>
              <w:t>日期：年月日</w:t>
            </w:r>
          </w:p>
        </w:tc>
        <w:tc>
          <w:tcPr>
            <w:tcW w:type="dxa" w:w="143"/>
            <w:tcBorders>
              <w:top w:val="none" w:color="000000" w:sz="4"/>
              <w:left w:val="none" w:color="000000" w:sz="4"/>
              <w:bottom w:val="none" w:color="000000" w:sz="4"/>
              <w:right w:val="none" w:color="000000" w:sz="4"/>
            </w:tcBorders>
          </w:tcPr>
          <w:p>
            <w:r>
              <w:rPr>
                <w:sz w:val="19"/>
              </w:rPr>
              <w:t xml:space="preserve"> </w:t>
            </w:r>
          </w:p>
        </w:tc>
      </w:tr>
      <w:tr>
        <w:tc>
          <w:tcPr>
            <w:tcW w:type="dxa" w:w="4205"/>
            <w:tcBorders>
              <w:top w:val="none" w:color="000000" w:sz="4"/>
              <w:left w:val="none" w:color="000000" w:sz="4"/>
              <w:bottom w:val="single" w:color="FFFFFF" w:sz="4"/>
              <w:right w:val="dashed" w:color="000000" w:sz="4"/>
            </w:tcBorders>
            <w:vAlign w:val="top"/>
          </w:tcPr>
          <w:p/>
          <w:p/>
        </w:tc>
        <w:tc>
          <w:tcPr>
            <w:tcW w:type="dxa" w:w="4073"/>
            <w:gridSpan w:val="2"/>
            <w:tcBorders>
              <w:top w:val="none" w:color="000000" w:sz="4"/>
              <w:left w:val="none" w:color="000000" w:sz="4"/>
              <w:bottom w:val="single" w:color="FFFFFF" w:sz="4"/>
              <w:right w:val="none" w:color="000000" w:sz="4"/>
            </w:tcBorders>
            <w:vAlign w:val="top"/>
          </w:tcPr>
          <w:p/>
          <w:p>
            <w:r>
              <w:rPr>
                <w:b/>
                <w:color w:val="000000"/>
                <w:sz w:val="21"/>
              </w:rPr>
              <w:t>收款方、开票方须与乙方一致，专户为：</w:t>
            </w:r>
          </w:p>
          <w:p>
            <w:r>
              <w:rPr>
                <w:color w:val="000000"/>
                <w:sz w:val="21"/>
              </w:rPr>
              <w:t>开户名称：</w:t>
            </w:r>
          </w:p>
          <w:p>
            <w:r>
              <w:rPr>
                <w:color w:val="000000"/>
                <w:sz w:val="21"/>
              </w:rPr>
              <w:t>银行账号：</w:t>
            </w:r>
          </w:p>
          <w:p>
            <w:r>
              <w:rPr>
                <w:color w:val="000000"/>
                <w:sz w:val="21"/>
              </w:rPr>
              <w:t>开户行：</w:t>
            </w:r>
          </w:p>
        </w:tc>
      </w:tr>
      <w:tr>
        <w:tc>
          <w:tcPr>
            <w:tcW w:type="dxa" w:w="4205"/>
            <w:tcBorders>
              <w:top w:val="none" w:color="000000" w:sz="4"/>
              <w:left w:val="none" w:color="000000" w:sz="4"/>
              <w:bottom w:val="single" w:color="FFFFFF" w:sz="4"/>
              <w:right w:val="dashed" w:color="000000" w:sz="4"/>
            </w:tcBorders>
            <w:vAlign w:val="top"/>
          </w:tcPr>
          <w:p>
            <w:r>
              <w:rPr>
                <w:b/>
                <w:color w:val="000000"/>
                <w:sz w:val="21"/>
              </w:rPr>
              <w:t>鉴证单位：广东省机电设备招标有限公司</w:t>
            </w:r>
          </w:p>
          <w:p>
            <w:r>
              <w:rPr>
                <w:b/>
                <w:color w:val="000000"/>
                <w:sz w:val="21"/>
              </w:rPr>
              <w:t>日期：年月日</w:t>
            </w:r>
          </w:p>
        </w:tc>
        <w:tc>
          <w:tcPr>
            <w:tcW w:type="dxa" w:w="4073"/>
            <w:gridSpan w:val="2"/>
            <w:tcBorders>
              <w:top w:val="none" w:color="000000" w:sz="4"/>
              <w:left w:val="none" w:color="000000" w:sz="4"/>
              <w:bottom w:val="single" w:color="FFFFFF" w:sz="4"/>
              <w:right w:val="none" w:color="000000" w:sz="4"/>
            </w:tcBorders>
            <w:vAlign w:val="top"/>
          </w:tcPr>
          <w:p/>
        </w:tc>
      </w:tr>
    </w:tbl>
    <w:p/>
    <w:p/>
    <w:p>
      <w:r>
        <w:rPr>
          <w:b/>
          <w:color w:val="000000"/>
          <w:sz w:val="24"/>
        </w:rPr>
        <w:t>合同附件清单：</w:t>
      </w:r>
    </w:p>
    <w:p>
      <w:pPr>
        <w:jc w:val="both"/>
      </w:pPr>
      <w:r>
        <w:rPr>
          <w:b/>
          <w:color w:val="000000"/>
          <w:sz w:val="21"/>
        </w:rPr>
        <w:t>附件一、《报价清单明细表》</w:t>
      </w:r>
    </w:p>
    <w:p>
      <w:pPr>
        <w:jc w:val="both"/>
      </w:pPr>
    </w:p>
    <w:p/>
    <w:p>
      <w:pPr>
        <w:ind w:firstLine="480"/>
      </w:pPr>
    </w:p>
    <w:p>
      <w:r>
        <w:rPr/>
        <w:t xml:space="preserve"> </w:t>
      </w:r>
    </w:p>
    <w:p/>
    <w:p>
      <w:pPr>
        <w:jc w:val="center"/>
      </w:pPr>
      <w:r>
        <w:rPr>
          <w:b/>
          <w:sz w:val="36"/>
        </w:rPr>
        <w:t>第六章 响应文件格式与要求</w:t>
      </w:r>
    </w:p>
    <w:p>
      <w:pPr>
        <w:ind w:firstLine="480"/>
      </w:pPr>
      <w:r>
        <w:rPr/>
        <w:t>供应商应提交证明其有资格参加磋商和成交后有能力履行合同的相关文件，并作为其响应文件的一部分，所有文件必须真实可靠、不得伪造，否则将按相关规定予以处罚。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供应商是企业（包括合伙企业），要提供在工商部门注册的有效“企业法人营业执照”或“营业执照”；如供应商是事业单位，要提供有效的“事业单位法人证书”；供应商是非企业专业服务机构的，如律师事务所，会计师事务所要提供执业许可证等证明文件；如供应商是个体工商户，要提供有效的“个体工商户营业执照”；如供应商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4.供应商参加政府采购前三年内在经营活动中没有重大违法记录声明函。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（2）查询截止时点：提交响应文件截止日当天；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供应商被列入失信被执行人、重大税收违法案件当事人名单、政府采购严重违法失信行为记录名单的供应商作无效响应处理。</w:t>
      </w:r>
    </w:p>
    <w:p>
      <w:pPr>
        <w:ind w:firstLine="480"/>
      </w:pPr>
      <w:r>
        <w:rPr/>
        <w:t>6. 按照磋商文件要求，供应商应当提交的资格、资信证明文件。</w:t>
      </w:r>
    </w:p>
    <w:p>
      <w:pPr>
        <w:ind w:firstLine="480"/>
      </w:pPr>
    </w:p>
    <w:p>
      <w:r>
        <w:rPr/>
        <w:t xml:space="preserve"> </w:t>
      </w:r>
    </w:p>
    <w:p/>
    <w:p>
      <w:pPr>
        <w:jc w:val="center"/>
      </w:pPr>
      <w:r>
        <w:rPr>
          <w:b/>
          <w:sz w:val="48"/>
        </w:rPr>
        <w:t>响应文件封面</w:t>
      </w:r>
    </w:p>
    <w:p/>
    <w:p>
      <w:pPr>
        <w:jc w:val="center"/>
      </w:pPr>
      <w:r>
        <w:rPr>
          <w:b/>
          <w:sz w:val="48"/>
        </w:rPr>
        <w:t>（项目名称）</w:t>
      </w:r>
    </w:p>
    <w:p>
      <w:pPr>
        <w:jc w:val="center"/>
      </w:pPr>
      <w:r>
        <w:rPr>
          <w:b/>
          <w:sz w:val="48"/>
        </w:rPr>
        <w:t>响应文件封面</w:t>
      </w:r>
    </w:p>
    <w:p>
      <w:pPr>
        <w:jc w:val="center"/>
      </w:pPr>
      <w:r>
        <w:rPr>
          <w:b/>
          <w:sz w:val="24"/>
        </w:rPr>
        <w:t>（正本/副本）</w:t>
      </w:r>
    </w:p>
    <w:p/>
    <w:p>
      <w:pPr>
        <w:jc w:val="center"/>
      </w:pPr>
      <w:r>
        <w:rPr>
          <w:b/>
          <w:sz w:val="24"/>
        </w:rPr>
        <w:t>采购计划编号：</w:t>
      </w:r>
      <w:r>
        <w:rPr>
          <w:b/>
          <w:sz w:val="24"/>
        </w:rPr>
        <w:t>440601-2023-02333</w:t>
      </w:r>
    </w:p>
    <w:p>
      <w:pPr>
        <w:jc w:val="center"/>
      </w:pPr>
      <w:r>
        <w:rPr>
          <w:b/>
          <w:sz w:val="24"/>
        </w:rPr>
        <w:t>采购项目编号：</w:t>
      </w:r>
      <w:r>
        <w:rPr>
          <w:b/>
          <w:sz w:val="24"/>
        </w:rPr>
        <w:t>M4400000707019834001</w:t>
      </w:r>
    </w:p>
    <w:p>
      <w:pPr>
        <w:jc w:val="center"/>
      </w:pPr>
      <w:r>
        <w:rPr>
          <w:b/>
          <w:sz w:val="24"/>
        </w:rPr>
        <w:t>所响应采购包：第 包</w:t>
      </w:r>
    </w:p>
    <w:p/>
    <w:p>
      <w:pPr>
        <w:jc w:val="center"/>
      </w:pPr>
      <w:r>
        <w:rPr>
          <w:b/>
          <w:sz w:val="24"/>
        </w:rPr>
        <w:t>（供应商名称）</w:t>
      </w:r>
    </w:p>
    <w:p>
      <w:pPr>
        <w:jc w:val="center"/>
      </w:pPr>
      <w:r>
        <w:rPr>
          <w:b/>
          <w:sz w:val="24"/>
        </w:rPr>
        <w:t>年 月 日</w:t>
      </w:r>
    </w:p>
    <w:p>
      <w:pPr>
        <w:ind w:firstLine="480"/>
      </w:pPr>
    </w:p>
    <w:p>
      <w:r>
        <w:rPr/>
        <w:t xml:space="preserve"> </w:t>
      </w:r>
    </w:p>
    <w:p/>
    <w:p>
      <w:pPr>
        <w:jc w:val="center"/>
      </w:pPr>
      <w:r>
        <w:rPr>
          <w:b/>
          <w:sz w:val="24"/>
        </w:rPr>
        <w:t>响应文件目录</w:t>
      </w:r>
    </w:p>
    <w:p>
      <w:pPr>
        <w:ind w:firstLine="480"/>
      </w:pPr>
      <w:r>
        <w:rPr/>
        <w:t>一、响应承诺函</w:t>
      </w:r>
    </w:p>
    <w:p>
      <w:pPr>
        <w:ind w:firstLine="480"/>
      </w:pPr>
      <w:r>
        <w:rPr/>
        <w:t>二、首轮报价表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七、响应保证金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十四、联合体共同响应协议书</w:t>
      </w:r>
    </w:p>
    <w:p>
      <w:pPr>
        <w:ind w:firstLine="480"/>
      </w:pPr>
      <w:r>
        <w:rPr/>
        <w:t>十五、供应商业绩情况表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r>
        <w:rPr/>
        <w:t>二十五、政府采购履约担保函、采购合同履约保险凭证</w:t>
      </w:r>
    </w:p>
    <w:p>
      <w:pPr>
        <w:ind w:firstLine="480"/>
      </w:pPr>
    </w:p>
    <w:p>
      <w:r>
        <w:rPr/>
        <w:t xml:space="preserve"> </w:t>
      </w:r>
    </w:p>
    <w:p/>
    <w:p>
      <w:r>
        <w:rPr>
          <w:b/>
          <w:sz w:val="28"/>
        </w:rPr>
        <w:t>格式一：</w:t>
      </w:r>
    </w:p>
    <w:p>
      <w:pPr>
        <w:jc w:val="center"/>
      </w:pPr>
      <w:r>
        <w:rPr>
          <w:b/>
          <w:sz w:val="24"/>
        </w:rPr>
        <w:t>响 应 承 诺 函</w:t>
      </w:r>
    </w:p>
    <w:p>
      <w:pPr>
        <w:ind w:firstLine="480"/>
      </w:pPr>
      <w:r>
        <w:rPr/>
        <w:t>致：</w:t>
      </w:r>
      <w:r>
        <w:rPr/>
        <w:t>广东省机电设备招标有限公司佛山分公司</w:t>
      </w:r>
    </w:p>
    <w:p>
      <w:pPr>
        <w:ind w:firstLine="480"/>
      </w:pPr>
      <w:r>
        <w:rPr/>
        <w:t>你方组织的</w:t>
      </w:r>
      <w:r>
        <w:rPr>
          <w:u w:val="single"/>
        </w:rPr>
        <w:t>“</w:t>
      </w:r>
      <w:r>
        <w:rPr>
          <w:u w:val="single"/>
        </w:rPr>
        <w:t>佛山市教育数据银行数据处理服务（2023-2025年）项目</w:t>
      </w:r>
      <w:r>
        <w:rPr>
          <w:u w:val="single"/>
        </w:rPr>
        <w:t>”</w:t>
      </w:r>
      <w:r>
        <w:rPr/>
        <w:t>项目的竞争性磋商[采购项目编号为：</w:t>
      </w:r>
      <w:r>
        <w:rPr>
          <w:u w:val="single"/>
        </w:rPr>
        <w:t>M4400000707019834001</w:t>
      </w:r>
      <w:r>
        <w:rPr/>
        <w:t>]，我方愿参与响应。</w:t>
      </w:r>
    </w:p>
    <w:p>
      <w:pPr>
        <w:ind w:firstLine="480"/>
      </w:pPr>
      <w:r>
        <w:rPr/>
        <w:t>我方确认收到贵方提供的</w:t>
      </w:r>
      <w:r>
        <w:rPr>
          <w:u w:val="single"/>
        </w:rPr>
        <w:t>“</w:t>
      </w:r>
      <w:r>
        <w:rPr>
          <w:u w:val="single"/>
        </w:rPr>
        <w:t>佛山市教育数据银行数据处理服务（2023-2025年）项目</w:t>
      </w:r>
      <w:r>
        <w:rPr>
          <w:u w:val="single"/>
        </w:rPr>
        <w:t>”</w:t>
      </w:r>
      <w:r>
        <w:rPr/>
        <w:t>项目的磋商文件的全部内容。</w:t>
      </w:r>
    </w:p>
    <w:p>
      <w:pPr>
        <w:ind w:firstLine="480"/>
      </w:pPr>
      <w:r>
        <w:rPr/>
        <w:t>我方在参与响应前已详细研究了磋商文件的所有内容，包括澄清、修改文件（如果有）和所有已提供的参考资料以及有关附件，我方完全明白并认为此磋商文件没有倾向性，也不存在排斥潜在供应商的内容，我方同意磋商文件的相关条款，放弃对磋商文件提出误解和质疑的一切权力。</w:t>
      </w:r>
    </w:p>
    <w:p>
      <w:pPr>
        <w:ind w:firstLine="480"/>
      </w:pPr>
      <w:r>
        <w:rPr>
          <w:u w:val="single"/>
        </w:rPr>
        <w:t>(供应商名称)</w:t>
      </w:r>
      <w:r>
        <w:rPr/>
        <w:t>作为供应商正式授权</w:t>
      </w:r>
      <w:r>
        <w:rPr>
          <w:u w:val="single"/>
        </w:rPr>
        <w:t>(授权代表全名,职务)</w:t>
      </w:r>
      <w:r>
        <w:rPr/>
        <w:t>代表我方全权处理有关本响应的一切事宜。</w:t>
      </w:r>
    </w:p>
    <w:p>
      <w:pPr>
        <w:ind w:firstLine="480"/>
      </w:pPr>
      <w:r>
        <w:rPr/>
        <w:t>我方已完全明白磋商文件的所有条款要求，并申明如下：</w:t>
      </w:r>
    </w:p>
    <w:p>
      <w:pPr>
        <w:ind w:firstLine="480"/>
      </w:pPr>
      <w:r>
        <w:rPr/>
        <w:t>（一）按磋商文件提供的全部货物（工程、服务）与相关服务的磋商总价详见《首轮报价表》。</w:t>
      </w:r>
    </w:p>
    <w:p>
      <w:pPr>
        <w:ind w:firstLine="480"/>
      </w:pPr>
      <w:r>
        <w:rPr/>
        <w:t>（二）本响应文件的有效期为</w:t>
      </w:r>
      <w:r>
        <w:rPr/>
        <w:t>从提交投标（响应）文件的截止之日起90日历天</w:t>
      </w:r>
      <w:r>
        <w:rPr/>
        <w:t>。如成交，有效期将延至合同终止日为止。在此提交的资格证明文件均至响应截止日有效，如有在响应有效期内失效的，我方承诺在成交后补齐一切手续，保证所有资格证明文件能在签订采购合同时直至采购合同终止日有效。</w:t>
      </w:r>
    </w:p>
    <w:p>
      <w:pPr>
        <w:ind w:firstLine="480"/>
      </w:pPr>
      <w:r>
        <w:rPr/>
        <w:t>（三）我方明白并同意，在规定的开启日之后，响应有效期之内撤回响应或成交后不按规定与采购人签订合同或不提交履约保证金, 则贵方将不予退还响应保证金。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（五）我方理解贵方不一定接受最低磋商价或任何贵方可能收到的响应。</w:t>
      </w:r>
    </w:p>
    <w:p>
      <w:pPr>
        <w:ind w:firstLine="480"/>
      </w:pPr>
      <w:r>
        <w:rPr/>
        <w:t>（六）我方如果成交，将保证履行磋商文件及其澄清、修改文件（如果有）中的全部责任和义务，按质、按量、按期完成《采购需求》及《合同书》中的全部任务。</w:t>
      </w:r>
    </w:p>
    <w:p>
      <w:pPr>
        <w:ind w:firstLine="480"/>
      </w:pPr>
      <w:r>
        <w:rPr/>
        <w:t>（七）我方作为法律、财务和运作上独立于采购人、采购代理机构的供应商，在此保证所提交的所有文件和全部说明是真实的和正确的。</w:t>
      </w:r>
    </w:p>
    <w:p>
      <w:pPr>
        <w:ind w:firstLine="480"/>
      </w:pPr>
      <w:r>
        <w:rPr/>
        <w:t>（八）我方磋商报价已包含应向知识产权所有权人支付的所有相关税费，并保证采购人在中国使用我方提供的货物时，如有第三方提出侵犯其知识产权主张的，责任由我方承担。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（九）我方接受采购人委托向贵方支付代理服务费，项目总报价已包含代理服务费，如果被确定为成交供应商，承诺向贵方足额支付。（若采购人支付代理服务费，则此条不适用）</w:t>
      </w:r>
    </w:p>
    <w:p>
      <w:pPr>
        <w:ind w:firstLine="480"/>
      </w:pPr>
      <w:r>
        <w:rPr/>
        <w:t>（十）我方与其他供应商不存在单位负责人为同一人或者存在直接控股、管理关系。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以上内容如有虚假或与事实不符的，磋商小组可将我方做无效响应处理，我方愿意承担相应的法律责任。</w:t>
      </w:r>
    </w:p>
    <w:p>
      <w:pPr>
        <w:ind w:firstLine="480"/>
      </w:pPr>
      <w:r>
        <w:rPr/>
        <w:t>（十四）我方对在本函及响应文件中所作的所有承诺承担法律责任。</w:t>
      </w:r>
    </w:p>
    <w:p>
      <w:pPr>
        <w:ind w:firstLine="480"/>
      </w:pPr>
      <w:r>
        <w:rPr/>
        <w:t>（十五）所有与本磋商有关的函件请发往下列地址：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真：__________________，电子邮箱：__________________</w:t>
      </w:r>
    </w:p>
    <w:p>
      <w:pPr>
        <w:ind w:firstLine="480"/>
      </w:pPr>
      <w:r>
        <w:rPr/>
        <w:t>代表姓名：__________________，职 务：__________________</w:t>
      </w:r>
    </w:p>
    <w:p>
      <w:pPr>
        <w:ind w:firstLine="480"/>
      </w:pPr>
    </w:p>
    <w:p>
      <w:pPr>
        <w:ind w:firstLine="480"/>
      </w:pPr>
    </w:p>
    <w:p>
      <w:pPr>
        <w:ind w:firstLine="480"/>
      </w:pPr>
    </w:p>
    <w:p>
      <w:pPr>
        <w:ind w:firstLine="480"/>
      </w:pPr>
    </w:p>
    <w:p>
      <w:pPr>
        <w:jc w:val="right"/>
      </w:pPr>
      <w:r>
        <w:rPr/>
        <w:t>法定代表人或授权委托人（签字）：__________________</w:t>
      </w:r>
    </w:p>
    <w:p>
      <w:pPr>
        <w:jc w:val="right"/>
      </w:pPr>
      <w:r>
        <w:rPr/>
        <w:t>加盖公章：__________________</w:t>
      </w:r>
    </w:p>
    <w:p>
      <w:pPr>
        <w:jc w:val="right"/>
      </w:pPr>
      <w:r>
        <w:rPr/>
        <w:t xml:space="preserve"> 日  期：__________________</w:t>
      </w:r>
    </w:p>
    <w:p>
      <w:pPr>
        <w:ind w:firstLine="480"/>
      </w:pPr>
    </w:p>
    <w:p>
      <w:r>
        <w:rPr/>
        <w:t xml:space="preserve"> </w:t>
      </w:r>
    </w:p>
    <w:p/>
    <w:p>
      <w:r>
        <w:rPr>
          <w:b/>
          <w:sz w:val="28"/>
        </w:rPr>
        <w:t>格式二：</w:t>
      </w:r>
    </w:p>
    <w:p>
      <w:pPr>
        <w:jc w:val="center"/>
      </w:pPr>
      <w:r>
        <w:rPr>
          <w:b/>
          <w:sz w:val="24"/>
        </w:rPr>
        <w:t>首轮报价表</w:t>
      </w:r>
    </w:p>
    <w:p>
      <w:pPr>
        <w:ind w:firstLine="480"/>
      </w:pPr>
      <w:r>
        <w:rPr/>
        <w:t>注:采用电子响应的项目无需编制该表格，响应供应商应在投标客户端【报价部分】进行填写，投标客户端软件将自动根据供应商填写信息在线生成首轮报价表﹐若在响应文件中出现非系统生成的首轮报价表﹐且与投标客户端生成的首轮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响应供应商名称：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响应报价（元/%）</w:t>
            </w:r>
          </w:p>
        </w:tc>
        <w:tc>
          <w:tcPr>
            <w:tcW w:type="dxa" w:w="1661"/>
          </w:tcPr>
          <w:p>
            <w:r>
              <w:rPr/>
              <w:t>交货或服务期</w:t>
            </w:r>
          </w:p>
        </w:tc>
        <w:tc>
          <w:tcPr>
            <w:tcW w:type="dxa" w:w="1661"/>
          </w:tcPr>
          <w:p>
            <w:r>
              <w:rPr/>
              <w:t>交货或服务地点</w:t>
            </w:r>
          </w:p>
        </w:tc>
      </w:tr>
      <w:tr>
        <w:tc>
          <w:tcPr>
            <w:tcW w:type="dxa" w:w="1661"/>
          </w:tcPr>
          <w:p>
            <w:pPr>
              <w:jc w:val="center"/>
            </w:pPr>
            <w:r>
              <w:rPr/>
              <w:t>1</w:t>
            </w:r>
          </w:p>
        </w:tc>
        <w:tc>
          <w:tcPr>
            <w:tcW w:type="dxa" w:w="1661"/>
          </w:tcPr>
          <w:p/>
        </w:tc>
        <w:tc>
          <w:tcPr>
            <w:tcW w:type="dxa" w:w="1661"/>
          </w:tcPr>
          <w:p/>
        </w:tc>
        <w:tc>
          <w:tcPr>
            <w:tcW w:type="dxa" w:w="1661"/>
          </w:tcPr>
          <w:p/>
        </w:tc>
        <w:tc>
          <w:tcPr>
            <w:tcW w:type="dxa" w:w="1661"/>
          </w:tcPr>
          <w:p/>
        </w:tc>
      </w:tr>
    </w:tbl>
    <w:p>
      <w:pPr>
        <w:jc w:val="right"/>
      </w:pPr>
      <w:r>
        <w:rPr/>
        <w:t>供应商签章：__________________</w:t>
      </w:r>
    </w:p>
    <w:p>
      <w:pPr>
        <w:jc w:val="right"/>
      </w:pPr>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采用电子响应的项目无需编制该表格，响应供应商应在投标客户端【报价部分】进行填写，投标客户端软件将自动根据供应商填写信息在线生成分项报价表，若在响应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响应供应商名称：</w:t>
      </w:r>
    </w:p>
    <w:p>
      <w:pPr>
        <w:ind w:firstLine="480"/>
      </w:pPr>
      <w:r>
        <w:rPr/>
        <w:t>采购包：</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pPr>
              <w:jc w:val="center"/>
            </w:pPr>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pPr>
              <w:jc w:val="center"/>
            </w:pPr>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jc w:val="right"/>
      </w:pPr>
      <w:r>
        <w:rPr/>
        <w:t>供应商签章：__________________</w:t>
      </w:r>
    </w:p>
    <w:p>
      <w:pPr>
        <w:jc w:val="right"/>
      </w:pPr>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pPr>
              <w:jc w:val="center"/>
            </w:pPr>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w:t>
      </w:r>
    </w:p>
    <w:p>
      <w:pPr>
        <w:ind w:firstLine="480"/>
      </w:pPr>
      <w:r>
        <w:rPr/>
        <w:t>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2.“节能产品、环境标志产品”须填写认证证书编号，并在对应“节能产品”、“环境标志产品”栏中勾选，同时提供有效期内的证书复印件（加盖供应商公章）</w:t>
      </w:r>
    </w:p>
    <w:p>
      <w:pPr>
        <w:jc w:val="right"/>
      </w:pPr>
      <w:r>
        <w:rPr/>
        <w:t xml:space="preserve"> 供应商名称（盖章）：__________________</w:t>
      </w:r>
    </w:p>
    <w:p>
      <w:pPr>
        <w:jc w:val="right"/>
      </w:pPr>
      <w:r>
        <w:rPr/>
        <w:t xml:space="preserve"> 日  期：__________________</w:t>
      </w:r>
    </w:p>
    <w:p>
      <w:pPr>
        <w:ind w:firstLine="480"/>
      </w:pPr>
    </w:p>
    <w:p>
      <w:r>
        <w:rPr/>
        <w:t xml:space="preserve"> </w:t>
      </w:r>
    </w:p>
    <w:p/>
    <w:p>
      <w:r>
        <w:rPr>
          <w:b/>
          <w:sz w:val="28"/>
        </w:rPr>
        <w:t>格式五：</w:t>
      </w:r>
    </w:p>
    <w:p>
      <w:pPr>
        <w:ind w:firstLine="480"/>
      </w:pPr>
      <w:r>
        <w:rPr/>
        <w:t>（供应商可使用下述格式，也可使用广东省工商行政管理局统一印制的法定代表人证明书格式）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经营范围：__________________________________________________________</w:t>
      </w:r>
    </w:p>
    <w:p>
      <w:pPr>
        <w:ind w:firstLine="480"/>
      </w:pPr>
    </w:p>
    <w:p>
      <w:pPr>
        <w:ind w:firstLine="480"/>
      </w:pPr>
    </w:p>
    <w:p>
      <w:pPr>
        <w:jc w:val="right"/>
      </w:pPr>
      <w:r>
        <w:rPr/>
        <w:t xml:space="preserve"> 供应商名称（盖章）：__________________</w:t>
      </w:r>
    </w:p>
    <w:p>
      <w:pPr>
        <w:jc w:val="right"/>
      </w:pPr>
      <w:r>
        <w:rPr/>
        <w:t xml:space="preserve"> 地  址：__________________</w:t>
      </w:r>
    </w:p>
    <w:p>
      <w:pPr>
        <w:jc w:val="right"/>
      </w:pPr>
      <w:r>
        <w:rPr/>
        <w:t xml:space="preserve"> 法定代表人（签字或盖章）：__________________</w:t>
      </w:r>
    </w:p>
    <w:p>
      <w:pPr>
        <w:jc w:val="right"/>
      </w:pPr>
      <w:r>
        <w:rPr/>
        <w:t xml:space="preserve"> 职  务：__________________</w:t>
      </w:r>
    </w:p>
    <w:p>
      <w:pPr>
        <w:jc w:val="right"/>
      </w:pPr>
      <w:r>
        <w:rPr/>
        <w:t xml:space="preserve"> 日  期：__________________</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（对于银行、保险、电信、邮政、铁路等行业以及获得总公司响应授权的分公司，可以提供响应分支机构负责人授权书）</w:t>
      </w:r>
    </w:p>
    <w:p>
      <w:pPr>
        <w:jc w:val="center"/>
      </w:pPr>
      <w:r>
        <w:rPr>
          <w:b/>
          <w:sz w:val="24"/>
        </w:rPr>
        <w:t>法定代表人授权书</w:t>
      </w:r>
    </w:p>
    <w:p>
      <w:pPr>
        <w:ind w:firstLine="480"/>
      </w:pPr>
      <w:r>
        <w:rPr/>
        <w:t>致：</w:t>
      </w:r>
      <w:r>
        <w:rPr/>
        <w:t>广东省机电设备招标有限公司佛山分公司</w:t>
      </w:r>
    </w:p>
    <w:p>
      <w:pPr>
        <w:ind w:firstLine="480"/>
      </w:pPr>
      <w:r>
        <w:rPr/>
        <w:t>本授权书声明：________是注册于</w:t>
      </w:r>
      <w:r>
        <w:rPr>
          <w:u w:val="single"/>
        </w:rPr>
        <w:t>（国家或地区）</w:t>
      </w:r>
      <w:r>
        <w:rPr/>
        <w:t>的</w:t>
      </w:r>
      <w:r>
        <w:rPr>
          <w:u w:val="single"/>
        </w:rPr>
        <w:t>（供应商名称）</w:t>
      </w:r>
      <w:r>
        <w:rPr/>
        <w:t>的法定代表人，现任________职务，有效证件号码：________________。现授权</w:t>
      </w:r>
      <w:r>
        <w:rPr>
          <w:u w:val="single"/>
        </w:rPr>
        <w:t>（姓名、职务）</w:t>
      </w:r>
      <w:r>
        <w:rPr/>
        <w:t>作为我公司的全权代理人，就“</w:t>
      </w:r>
      <w:r>
        <w:rPr/>
        <w:t>佛山市教育数据银行数据处理服务（2023-2025年）项目</w:t>
      </w:r>
      <w:r>
        <w:rPr/>
        <w:t>”项目采购[采购项目编号为</w:t>
      </w:r>
      <w:r>
        <w:rPr/>
        <w:t>M4400000707019834001</w:t>
      </w:r>
      <w:r>
        <w:rPr/>
        <w:t>]的响应和合同执行，以我方的名义处理一切与之有关的事宜。</w:t>
      </w:r>
    </w:p>
    <w:p>
      <w:pPr>
        <w:ind w:firstLine="480"/>
      </w:pPr>
      <w:r>
        <w:rPr/>
        <w:t>本授权书于________年________月________日签字生效，特此声明。</w:t>
      </w:r>
    </w:p>
    <w:p>
      <w:pPr>
        <w:jc w:val="right"/>
      </w:pPr>
      <w:r>
        <w:rPr/>
        <w:t xml:space="preserve"> 供应商（盖章）：__________________</w:t>
      </w:r>
    </w:p>
    <w:p>
      <w:pPr>
        <w:jc w:val="right"/>
      </w:pPr>
      <w:r>
        <w:rPr/>
        <w:t xml:space="preserve"> 地  址：__________________</w:t>
      </w:r>
    </w:p>
    <w:p>
      <w:pPr>
        <w:jc w:val="right"/>
      </w:pPr>
      <w:r>
        <w:rPr/>
        <w:t xml:space="preserve"> 法定代表人（签字或盖章）：__________________</w:t>
      </w:r>
    </w:p>
    <w:p>
      <w:pPr>
        <w:jc w:val="right"/>
      </w:pPr>
      <w:r>
        <w:rPr/>
        <w:t xml:space="preserve"> 职  务：__________________</w:t>
      </w:r>
    </w:p>
    <w:p>
      <w:pPr>
        <w:jc w:val="right"/>
      </w:pPr>
      <w:r>
        <w:rPr/>
        <w:t xml:space="preserve"> 被授权人（签字或盖章）：__________________</w:t>
      </w:r>
    </w:p>
    <w:p>
      <w:pPr>
        <w:jc w:val="right"/>
      </w:pPr>
      <w:r>
        <w:rPr/>
        <w:t xml:space="preserve"> 职  务：__________________</w:t>
      </w:r>
    </w:p>
    <w:p>
      <w:pPr>
        <w:jc w:val="right"/>
      </w:pPr>
      <w:r>
        <w:rPr/>
        <w:t xml:space="preserve"> 日  期：__________________</w:t>
      </w:r>
    </w:p>
    <w:p>
      <w:pPr>
        <w:ind w:firstLine="480"/>
      </w:pPr>
    </w:p>
    <w:p>
      <w:r>
        <w:rPr/>
        <w:t xml:space="preserve"> </w:t>
      </w:r>
    </w:p>
    <w:p/>
    <w:p>
      <w:r>
        <w:rPr>
          <w:b/>
          <w:sz w:val="28"/>
        </w:rPr>
        <w:t>格式七：</w:t>
      </w:r>
    </w:p>
    <w:p>
      <w:pPr>
        <w:jc w:val="center"/>
      </w:pPr>
      <w:r>
        <w:rPr>
          <w:b/>
          <w:sz w:val="24"/>
        </w:rPr>
        <w:t>响应保证金</w:t>
      </w:r>
    </w:p>
    <w:p>
      <w:pPr>
        <w:ind w:firstLine="480"/>
      </w:pPr>
      <w:r>
        <w:rPr/>
        <w:t>响应文件要求递交响应保证金的，供应商应在此提供保证金的凭证的复印件。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具有履行合同所必需的设备和专业技术能力</w:t>
      </w: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佛山市教育局</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中小企业声明函（所投产品制造商为中小企业时提交本函，所属行业应符合磋商文件中明确的本项目所属行业）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ind w:firstLine="480"/>
      </w:pPr>
      <w:r>
        <w:rPr/>
        <w:t>2.（标的名称），属于（磋商文件中明确的所属行业）行业；制造商为（企业名称），从业人员__________________人，营业收入为__________________万元，资产总额为__________________万元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pPr>
        <w:jc w:val="right"/>
      </w:pPr>
      <w:r>
        <w:rPr/>
        <w:t xml:space="preserve"> 企业名称（盖章）：__________________</w:t>
      </w:r>
    </w:p>
    <w:p>
      <w:pPr>
        <w:jc w:val="right"/>
      </w:pPr>
      <w:r>
        <w:rPr/>
        <w:t xml:space="preserve"> 日  期：__________________</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供应商应当对其出具的《中小企业声明函》真实性负责，供应商出具的《中小企业声明函》内容不实的，属于提供虚假材料谋取成交。在实际操作中，供应商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中小企业声明函（承建本项目工程为中小企业或者承接本项目服务为中小企业时提交本函，所属行业应符合磋商文件中明确的本项目所属行业）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ind w:firstLine="480"/>
      </w:pPr>
      <w:r>
        <w:rPr/>
        <w:t>2.（标的名称），属于（磋商文件中明确的所属行业）行业；承建（承接）企业为（企业名称），从业人员__________________人，营业收入为__________________万元，资产总额为__________________万元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pPr>
        <w:jc w:val="right"/>
      </w:pPr>
      <w:r>
        <w:rPr/>
        <w:t xml:space="preserve"> 企业名称（盖章）：__________________</w:t>
      </w:r>
    </w:p>
    <w:p>
      <w:pPr>
        <w:jc w:val="right"/>
      </w:pPr>
      <w:r>
        <w:rPr/>
        <w:t xml:space="preserve"> 日  期：__________________</w:t>
      </w:r>
    </w:p>
    <w:p>
      <w:pPr>
        <w:ind w:firstLine="480"/>
      </w:pPr>
      <w:r>
        <w:rPr/>
        <w:t>1：从业人员、营业收入、资产总额填报上一年度数据，无上一年度数据的新成立企业可不填报。</w:t>
      </w:r>
    </w:p>
    <w:p>
      <w:pPr>
        <w:ind w:firstLine="480"/>
      </w:pPr>
      <w:r>
        <w:rPr/>
        <w:t>2：供应商应当自行核实是否属于小微企业，并认真填写声明函，若有虚假将追究其责任。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pPr>
        <w:jc w:val="right"/>
      </w:pPr>
      <w:r>
        <w:rPr/>
        <w:t>单位名称（盖章）：__________________</w:t>
      </w:r>
    </w:p>
    <w:p>
      <w:pPr>
        <w:jc w:val="right"/>
      </w:pPr>
      <w:r>
        <w:rPr/>
        <w:t xml:space="preserve"> 日  期：__________________</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联合体共同响应协议书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自愿组成联合体，以一个供应商的身份共同参加（采购项目名称）（采购项目编号）的响应活动。经各方充分协商一致，就项目的响应和合同实施阶段的有关事务协商一致订立协议如下：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共同组成一个联合体，以一个供应商的身份共同参加本项目的响应。（甲公司全称）、（乙公司全称）、（……公司全称）作为联合体成员，若成交，联合体各方共同与（采购人）签订政府采购合同。</w:t>
      </w:r>
    </w:p>
    <w:p>
      <w:pPr>
        <w:ind w:firstLine="480"/>
      </w:pPr>
      <w:r>
        <w:rPr/>
        <w:t>二、联合体内部有关事项约定如下：</w:t>
      </w:r>
    </w:p>
    <w:p>
      <w:pPr>
        <w:ind w:firstLine="480"/>
      </w:pPr>
      <w:r>
        <w:rPr/>
        <w:t>1.（甲公司全称）作为联合体的牵头单位，代表联合体双方负责响应和合同实施阶段的主办、协调工作。</w:t>
      </w:r>
    </w:p>
    <w:p>
      <w:pPr>
        <w:ind w:firstLine="480"/>
      </w:pPr>
      <w:r>
        <w:rPr/>
        <w:t>2.联合体将严格按照文件的各项要求，递交响应文件，切实执行一切合同文件，共同承担合同规定的一切义务和责任，同时按照内部职责的划分，承担自身所负的责任和风险，在法律在承担连带责任。</w:t>
      </w:r>
    </w:p>
    <w:p>
      <w:pPr>
        <w:ind w:firstLine="480"/>
      </w:pPr>
      <w:r>
        <w:rPr/>
        <w:t>3.如果本联合体成交，（甲公司全称）负责本项目___________部分，（乙公司全称）负责本项目___________部分。</w:t>
      </w:r>
    </w:p>
    <w:p>
      <w:pPr>
        <w:ind w:firstLine="480"/>
      </w:pPr>
      <w:r>
        <w:rPr/>
        <w:t>4.如成交，联合体各方共同与（采购人）签订合同书，并就成交项目向采购人负责有连带的和各自的法律责任；</w:t>
      </w:r>
    </w:p>
    <w:p>
      <w:pPr>
        <w:ind w:firstLine="480"/>
      </w:pPr>
      <w:r>
        <w:rPr/>
        <w:t>5.联合体成员（公司全称）为（请填写：小型、微型）企业，将承担合同总金额____%的工作内容（联合体成员中有小型、微型企业时适用）。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五、本协议在自签署之日起生效，有效期内有效，如获成交资格，合同有效期延续至合同履行完毕之日。</w:t>
      </w:r>
    </w:p>
    <w:p>
      <w:pPr>
        <w:ind w:firstLine="480"/>
      </w:pPr>
      <w:r>
        <w:rPr/>
        <w:t>六、本协议书正本一式____份，随响应文件装订____份，送采购人____份，联合体成员各一份；副本一式____份，联合体成员各执____份。</w:t>
      </w:r>
    </w:p>
    <w:p>
      <w:pPr>
        <w:jc w:val="right"/>
      </w:pPr>
      <w:r>
        <w:rPr/>
        <w:t>甲公司全称：____（盖章）________，乙公司全称：____（盖章）________，……公司全称：____（盖章）________，</w:t>
      </w:r>
    </w:p>
    <w:p>
      <w:pPr>
        <w:jc w:val="right"/>
      </w:pPr>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响应供应商业绩情况表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pPr>
              <w:jc w:val="center"/>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根据上述业绩情况，按磋商文件要求附销售或服务合同复印件。</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磋商文件规定的技术和服务要求</w:t>
            </w:r>
          </w:p>
        </w:tc>
        <w:tc>
          <w:tcPr>
            <w:tcW w:type="dxa" w:w="923"/>
          </w:tcPr>
          <w:p>
            <w:r>
              <w:rPr/>
              <w:t>响应文件响应的具体内容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1.“磋商文件规定的技术和服务要求”项下填写的内容应与磋商文件中采购需求的</w:t>
        <w:tab/>
        <w:tab/>
        <w:t xml:space="preserve"> “技术要求”的内容保持一致。供应商应当如实填写上表“响应文件响应的具体内容”处内容，对磋商文件提出的要求和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ind w:firstLine="480"/>
      </w:pPr>
      <w:r>
        <w:rPr/>
        <w:t>2.参数性质栏标注“★”、“▲”号条款标志，</w:t>
        <w:tab/>
        <w:tab/>
        <w:t xml:space="preserve"> 打“★”号条款为实质性条款，若有任何一条负偏离或不满足则导致响应无效。打“▲”号条款为重要技术参数（如有），若有部分“▲”条款未响应或不满足，将根据评审要求影响其得分，但不作为无效响应条款。</w:t>
      </w:r>
    </w:p>
    <w:p>
      <w:pPr>
        <w:ind w:firstLine="480"/>
      </w:pPr>
      <w:r>
        <w:rPr/>
        <w:t>3.“是否偏离”项下应按下列规定填写：优于的，填写“正偏离”；符合的，填写“无偏离”；低于的，填写“负偏离”。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磋商文件规定的商务条件</w:t>
            </w:r>
          </w:p>
        </w:tc>
        <w:tc>
          <w:tcPr>
            <w:tcW w:type="dxa" w:w="1187"/>
          </w:tcPr>
          <w:p>
            <w:r>
              <w:rPr/>
              <w:t>响应文件响应的具体内容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pPr>
              <w:jc w:val="center"/>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1.“磋商文件规定的商务条件”项下填写的内容应与磋商文件中采购需求的 “商务要求”的内容保持一致。</w:t>
      </w:r>
    </w:p>
    <w:p>
      <w:pPr>
        <w:ind w:firstLine="480"/>
      </w:pPr>
      <w:r>
        <w:rPr/>
        <w:t>2.供应商应当如实填写上表“响应文件响应的具体内容”处内容，对磋商文件规定的商务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ind w:firstLine="480"/>
      </w:pPr>
      <w:r>
        <w:rPr/>
        <w:t>3.参数性质栏标注“★”、“▲”号条款标志，</w:t>
        <w:tab/>
        <w:tab/>
        <w:t xml:space="preserve"> 打“★”号条款为实质性条款，若有任何一条负偏离或不满足则导致响应无效。打“▲”号条款为重要技术参数（如有），若有部分“▲”条款未响应或不满足，将根据评审要求影响其得分，但不作为无效响应条款。</w:t>
      </w:r>
    </w:p>
    <w:p>
      <w:pPr>
        <w:ind w:firstLine="480"/>
      </w:pPr>
      <w:r>
        <w:rPr/>
        <w:t>4.“是否偏离”项下应按下列规定填写：优于的，填写“正偏离”；符合的，填写“无偏离”；低于的，填写“负偏离”。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pPr>
              <w:jc w:val="center"/>
            </w:pPr>
            <w:r>
              <w:rPr/>
              <w:t>1</w:t>
            </w:r>
          </w:p>
        </w:tc>
        <w:tc>
          <w:tcPr>
            <w:tcW w:type="dxa" w:w="2076"/>
          </w:tcPr>
          <w:p>
            <w:r>
              <w:rPr/>
              <w:t>拟定___年___月___日</w:t>
            </w:r>
          </w:p>
        </w:tc>
        <w:tc>
          <w:tcPr>
            <w:tcW w:type="dxa" w:w="2076"/>
          </w:tcPr>
          <w:p>
            <w:r>
              <w:rPr/>
              <w:t>签订合同并生效</w:t>
            </w:r>
          </w:p>
        </w:tc>
        <w:tc>
          <w:tcPr>
            <w:tcW w:type="dxa" w:w="2076"/>
          </w:tcPr>
          <w:p/>
        </w:tc>
      </w:tr>
      <w:tr>
        <w:tc>
          <w:tcPr>
            <w:tcW w:type="dxa" w:w="2076"/>
          </w:tcPr>
          <w:p>
            <w:pPr>
              <w:jc w:val="center"/>
            </w:pPr>
            <w:r>
              <w:rPr/>
              <w:t>2</w:t>
            </w:r>
          </w:p>
        </w:tc>
        <w:tc>
          <w:tcPr>
            <w:tcW w:type="dxa" w:w="2076"/>
          </w:tcPr>
          <w:p>
            <w:r>
              <w:rPr/>
              <w:t>___月___日—___月___日</w:t>
            </w:r>
          </w:p>
        </w:tc>
        <w:tc>
          <w:tcPr>
            <w:tcW w:type="dxa" w:w="2076"/>
          </w:tcPr>
          <w:p/>
        </w:tc>
        <w:tc>
          <w:tcPr>
            <w:tcW w:type="dxa" w:w="2076"/>
          </w:tcPr>
          <w:p/>
        </w:tc>
      </w:tr>
      <w:tr>
        <w:tc>
          <w:tcPr>
            <w:tcW w:type="dxa" w:w="2076"/>
          </w:tcPr>
          <w:p>
            <w:pPr>
              <w:jc w:val="center"/>
            </w:pPr>
            <w:r>
              <w:rPr/>
              <w:t>3</w:t>
            </w:r>
          </w:p>
        </w:tc>
        <w:tc>
          <w:tcPr>
            <w:tcW w:type="dxa" w:w="2076"/>
          </w:tcPr>
          <w:p>
            <w:r>
              <w:rPr/>
              <w:t>___月___日—___月___日</w:t>
            </w:r>
          </w:p>
        </w:tc>
        <w:tc>
          <w:tcPr>
            <w:tcW w:type="dxa" w:w="2076"/>
          </w:tcPr>
          <w:p/>
        </w:tc>
        <w:tc>
          <w:tcPr>
            <w:tcW w:type="dxa" w:w="2076"/>
          </w:tcPr>
          <w:p/>
        </w:tc>
      </w:tr>
      <w:tr>
        <w:tc>
          <w:tcPr>
            <w:tcW w:type="dxa" w:w="2076"/>
          </w:tcPr>
          <w:p>
            <w:pPr>
              <w:jc w:val="center"/>
            </w:pPr>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1.磋商文件要求提供的其他资料。</w:t>
      </w:r>
    </w:p>
    <w:p>
      <w:pPr>
        <w:ind w:firstLine="480"/>
      </w:pPr>
      <w:r>
        <w:rPr/>
        <w:t>2.供应商认为需提供的其他资料。</w:t>
      </w:r>
    </w:p>
    <w:p>
      <w:pPr>
        <w:ind w:firstLine="480"/>
      </w:pPr>
    </w:p>
    <w:p>
      <w:r>
        <w:rPr/>
        <w:t xml:space="preserve"> </w:t>
      </w:r>
    </w:p>
    <w:p/>
    <w:p>
      <w:r>
        <w:rPr>
          <w:b/>
          <w:sz w:val="28"/>
        </w:rPr>
        <w:t>格式二十：</w:t>
      </w:r>
    </w:p>
    <w:p>
      <w:pPr>
        <w:ind w:firstLine="480"/>
      </w:pPr>
      <w:r>
        <w:rPr/>
        <w:t>（若采购人支付代理服务费，则无需出具此承诺书）</w:t>
      </w:r>
    </w:p>
    <w:p>
      <w:pPr>
        <w:jc w:val="center"/>
      </w:pPr>
      <w:r>
        <w:rPr>
          <w:b/>
          <w:sz w:val="24"/>
        </w:rPr>
        <w:t>代理服务费缴纳承诺函</w:t>
      </w:r>
    </w:p>
    <w:p>
      <w:pPr>
        <w:ind w:firstLine="480"/>
      </w:pPr>
      <w:r>
        <w:rPr/>
        <w:t>致：</w:t>
      </w:r>
      <w:r>
        <w:rPr/>
        <w:t>广东省机电设备招标有限公司佛山分公司</w:t>
      </w:r>
    </w:p>
    <w:p>
      <w:pPr>
        <w:ind w:firstLine="480"/>
      </w:pPr>
      <w:r>
        <w:rPr/>
        <w:t>我单位参加贵公司组织的</w:t>
      </w:r>
      <w:r>
        <w:rPr/>
        <w:t>佛山市教育数据银行数据处理服务（2023-2025年）项目</w:t>
      </w:r>
      <w:r>
        <w:rPr/>
        <w:t>（采购项目编号：</w:t>
      </w:r>
      <w:r>
        <w:rPr/>
        <w:t>M4400000707019834001</w:t>
      </w:r>
      <w:r>
        <w:rPr/>
        <w:t>），作出如下承诺：</w:t>
      </w:r>
    </w:p>
    <w:p>
      <w:pPr>
        <w:ind w:firstLine="480"/>
      </w:pPr>
      <w:r>
        <w:rPr/>
        <w:t>1、完全响应磋商文件中要求的条款，若提供虚假资料将作为无效响应处理，并接受相关部门的处罚。</w:t>
      </w:r>
    </w:p>
    <w:p>
      <w:pPr>
        <w:ind w:firstLine="480"/>
      </w:pPr>
      <w:r>
        <w:rPr/>
        <w:t>2、我单位若被选为成交供应商，承诺按照规定缴纳代理服务费。代理服务费包括组织专家对审查供应商资格、答疑、组织磋商、评审、确定成交供应商，以及提供采购前期咨询、协调合同的签订等服务，按______支付。</w:t>
      </w:r>
    </w:p>
    <w:p>
      <w:pPr>
        <w:ind w:firstLine="480"/>
      </w:pPr>
      <w:r>
        <w:rPr/>
        <w:t>3、如我公司被选为成交供应商，在成交结果公示后3日内向采购代理机构指定账户缴付代理服务费。</w:t>
      </w:r>
    </w:p>
    <w:p>
      <w:pPr>
        <w:ind w:firstLine="480"/>
      </w:pPr>
      <w:r>
        <w:rPr/>
        <w:t>特此承诺！</w:t>
      </w:r>
    </w:p>
    <w:p>
      <w:pPr>
        <w:ind w:firstLine="480"/>
      </w:pPr>
    </w:p>
    <w:p>
      <w:pPr>
        <w:jc w:val="right"/>
      </w:pPr>
      <w:r>
        <w:rPr/>
        <w:t>供应商法定名称（公章）；_____________________</w:t>
      </w:r>
    </w:p>
    <w:p>
      <w:pPr>
        <w:jc w:val="right"/>
      </w:pPr>
      <w:r>
        <w:rPr/>
        <w:t>供应商法定地址：_____________________</w:t>
      </w:r>
    </w:p>
    <w:p>
      <w:pPr>
        <w:jc w:val="right"/>
      </w:pPr>
      <w:r>
        <w:rPr/>
        <w:t>供应商授权代表（签字或盖章）：_____________________</w:t>
      </w:r>
    </w:p>
    <w:p>
      <w:pPr>
        <w:jc w:val="right"/>
      </w:pPr>
      <w:r>
        <w:rPr/>
        <w:t>电 话：_____________________</w:t>
      </w:r>
    </w:p>
    <w:p>
      <w:pPr>
        <w:jc w:val="right"/>
      </w:pPr>
      <w:r>
        <w:rPr/>
        <w:t>传 真：_____________________</w:t>
      </w:r>
    </w:p>
    <w:p>
      <w:pPr>
        <w:jc w:val="right"/>
      </w:pPr>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供应商需要采购人提供的附加条件</w:t>
            </w:r>
          </w:p>
        </w:tc>
      </w:tr>
      <w:tr>
        <w:tc>
          <w:tcPr>
            <w:tcW w:type="dxa" w:w="4153"/>
          </w:tcPr>
          <w:p>
            <w:pPr>
              <w:jc w:val="center"/>
            </w:pPr>
            <w:r>
              <w:rPr/>
              <w:t>1</w:t>
            </w:r>
          </w:p>
        </w:tc>
        <w:tc>
          <w:tcPr>
            <w:tcW w:type="dxa" w:w="4153"/>
          </w:tcPr>
          <w:p/>
        </w:tc>
      </w:tr>
      <w:tr>
        <w:tc>
          <w:tcPr>
            <w:tcW w:type="dxa" w:w="4153"/>
          </w:tcPr>
          <w:p>
            <w:pPr>
              <w:jc w:val="center"/>
            </w:pPr>
            <w:r>
              <w:rPr/>
              <w:t>2</w:t>
            </w:r>
          </w:p>
        </w:tc>
        <w:tc>
          <w:tcPr>
            <w:tcW w:type="dxa" w:w="4153"/>
          </w:tcPr>
          <w:p/>
        </w:tc>
      </w:tr>
      <w:tr>
        <w:tc>
          <w:tcPr>
            <w:tcW w:type="dxa" w:w="4153"/>
          </w:tcPr>
          <w:p>
            <w:pPr>
              <w:jc w:val="center"/>
            </w:pPr>
            <w:r>
              <w:rPr/>
              <w:t>3</w:t>
            </w:r>
          </w:p>
        </w:tc>
        <w:tc>
          <w:tcPr>
            <w:tcW w:type="dxa" w:w="4153"/>
          </w:tcPr>
          <w:p/>
        </w:tc>
      </w:tr>
    </w:tbl>
    <w:p>
      <w:pPr>
        <w:ind w:firstLine="480"/>
      </w:pPr>
      <w:r>
        <w:rPr/>
        <w:t>注：供应商完成本项目需要采购人配合或提供的条件必须在上表列出，否则将视为供应商同意按现有条件完成本项目。如上表所列附加条件含有采购人不能接受的，将被视为响应无效。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说明：本部分格式为供应商提交询问函、质疑函、投诉函时使用，不属于响应文件格式的组成部分。</w:t>
      </w:r>
    </w:p>
    <w:p>
      <w:pPr>
        <w:jc w:val="center"/>
      </w:pPr>
      <w:r>
        <w:rPr>
          <w:b/>
          <w:sz w:val="24"/>
        </w:rPr>
        <w:t>询问函</w:t>
      </w:r>
    </w:p>
    <w:p>
      <w:pPr>
        <w:ind w:firstLine="480"/>
      </w:pPr>
      <w:r>
        <w:rPr/>
        <w:t>广东省机电设备招标有限公司佛山分公司</w:t>
      </w:r>
    </w:p>
    <w:p>
      <w:pPr>
        <w:ind w:firstLine="480"/>
      </w:pPr>
      <w:r>
        <w:rPr/>
        <w:t>我单位已登记并准备参与“</w:t>
      </w:r>
      <w:r>
        <w:rPr/>
        <w:t>佛山市教育数据银行数据处理服务（2023-2025年）项目</w:t>
      </w:r>
      <w:r>
        <w:rPr/>
        <w:t>”项目（采购项目编号：</w:t>
      </w:r>
      <w:r>
        <w:rPr/>
        <w:t>M4400000707019834001</w:t>
      </w:r>
      <w:r>
        <w:rPr/>
        <w:t>）的响应活动，现有以下几个内容（或条款）存在疑问（或无法理解），特提出询问。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pPr>
        <w:ind w:firstLine="480"/>
      </w:pPr>
      <w:r>
        <w:rPr/>
        <w:t>询问人：（公章）</w:t>
      </w:r>
    </w:p>
    <w:p>
      <w:pPr>
        <w:ind w:firstLine="480"/>
      </w:pPr>
      <w:r>
        <w:rPr/>
        <w:t>法定代表人（授权代表）：</w:t>
      </w:r>
    </w:p>
    <w:p>
      <w:pPr>
        <w:ind w:firstLine="480"/>
      </w:pPr>
      <w:r>
        <w:rPr/>
        <w:t>地址/邮编：</w:t>
      </w:r>
    </w:p>
    <w:p>
      <w:pPr>
        <w:ind w:firstLine="480"/>
      </w:pPr>
      <w:r>
        <w:rPr/>
        <w:t>电话/传真：</w:t>
      </w:r>
    </w:p>
    <w:p>
      <w:pPr>
        <w:jc w:val="right"/>
      </w:pPr>
      <w:r>
        <w:rPr/>
        <w:t xml:space="preserve"> 日  期：__________________</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质疑供应商：__________________________________________</w:t>
      </w:r>
    </w:p>
    <w:p>
      <w:pPr>
        <w:ind w:firstLine="480"/>
      </w:pPr>
      <w:r>
        <w:rPr/>
        <w:t>地址：_____________________邮编：_____________________</w:t>
      </w:r>
    </w:p>
    <w:p>
      <w:pPr>
        <w:ind w:firstLine="480"/>
      </w:pPr>
      <w:r>
        <w:rPr/>
        <w:t>联系：_____________________联系电话：_________________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磋商文件获取日期：_____________________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w:t>
      </w:r>
    </w:p>
    <w:p>
      <w:pPr>
        <w:ind w:firstLine="480"/>
      </w:pPr>
      <w:r>
        <w:rPr/>
        <w:t>……</w:t>
      </w:r>
    </w:p>
    <w:p>
      <w:pPr>
        <w:ind w:firstLine="480"/>
      </w:pPr>
      <w:r>
        <w:rPr/>
        <w:t>四、与质疑事项相关的质疑请求</w:t>
      </w:r>
    </w:p>
    <w:p>
      <w:pPr>
        <w:ind w:firstLine="480"/>
      </w:pPr>
      <w:r>
        <w:rPr/>
        <w:t>请求：</w:t>
      </w:r>
    </w:p>
    <w:p>
      <w:pPr>
        <w:jc w:val="right"/>
      </w:pPr>
      <w:r>
        <w:rPr/>
        <w:t xml:space="preserve"> 签字(签章)：_____________________ 公章：_____________________</w:t>
      </w:r>
    </w:p>
    <w:p>
      <w:pPr>
        <w:jc w:val="right"/>
      </w:pPr>
      <w:r>
        <w:rPr/>
        <w:t>日期：_____________________</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3.质疑供应商若对项目的某一采购包进行质疑，质疑函中应列明具体分包号。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磋商文件公告:</w:t>
      </w:r>
      <w:r>
        <w:rPr>
          <w:u w:val="single"/>
        </w:rPr>
        <w:t>是/否</w:t>
      </w:r>
      <w:r>
        <w:rPr/>
        <w:t>公告期限：</w:t>
      </w:r>
    </w:p>
    <w:p>
      <w:pPr>
        <w:ind w:firstLine="480"/>
      </w:pPr>
      <w:r>
        <w:rPr/>
        <w:t>采购结果公告:</w:t>
      </w:r>
      <w:r>
        <w:rPr>
          <w:u w:val="single"/>
        </w:rPr>
        <w:t>是/否</w:t>
      </w:r>
      <w:r>
        <w:rPr/>
        <w:t>公告期限：</w:t>
      </w:r>
    </w:p>
    <w:p>
      <w:pPr>
        <w:ind w:firstLine="480"/>
      </w:pPr>
      <w:r>
        <w:rPr/>
        <w:t>三、质疑基本情况</w:t>
      </w:r>
    </w:p>
    <w:p>
      <w:pPr>
        <w:ind w:firstLine="480"/>
      </w:pPr>
      <w:r>
        <w:rPr/>
        <w:t>投诉人于 ____年____月____日,向____________________提出质疑，质疑事项为：________________________________________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投诉事项1：____________________</w:t>
      </w:r>
    </w:p>
    <w:p>
      <w:pPr>
        <w:ind w:firstLine="480"/>
      </w:pPr>
      <w:r>
        <w:rPr/>
        <w:t>事实依据：____________________</w:t>
      </w:r>
    </w:p>
    <w:p>
      <w:pPr>
        <w:ind w:firstLine="480"/>
      </w:pPr>
      <w:r>
        <w:rPr/>
        <w:t>法律依据：____________________</w:t>
      </w:r>
    </w:p>
    <w:p>
      <w:pPr>
        <w:ind w:firstLine="480"/>
      </w:pPr>
      <w:r>
        <w:rPr/>
        <w:t>投诉事项2</w:t>
      </w:r>
    </w:p>
    <w:p>
      <w:pPr>
        <w:ind w:firstLine="480"/>
      </w:pPr>
      <w:r>
        <w:rPr/>
        <w:t>……</w:t>
      </w:r>
    </w:p>
    <w:p>
      <w:pPr>
        <w:ind w:firstLine="480"/>
      </w:pPr>
      <w:r>
        <w:rPr/>
        <w:t>五、与投诉事项相关的投诉请求</w:t>
      </w:r>
    </w:p>
    <w:p>
      <w:pPr>
        <w:ind w:firstLine="480"/>
      </w:pPr>
      <w:r>
        <w:rPr/>
        <w:t>请求：________________________</w:t>
      </w:r>
    </w:p>
    <w:p>
      <w:pPr>
        <w:ind w:firstLine="480"/>
      </w:pPr>
    </w:p>
    <w:p>
      <w:pPr>
        <w:jc w:val="right"/>
      </w:pPr>
      <w:r>
        <w:rPr/>
        <w:t>签字(签章)：_________公章________</w:t>
      </w:r>
    </w:p>
    <w:p>
      <w:pPr>
        <w:jc w:val="right"/>
      </w:pPr>
      <w:r>
        <w:rPr/>
        <w:t>日期：_____________________</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pPr>
        <w:jc w:val="right"/>
      </w:pPr>
      <w:r>
        <w:rPr/>
        <w:t>编号：【】号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响应）担保函的形式交纳投标（响应）保证金。应投标（响应）人的申请，我方以保证的方式向你方提供如下投标（响应）保证金担保：</w:t>
      </w:r>
    </w:p>
    <w:p>
      <w:pPr>
        <w:ind w:firstLine="480"/>
      </w:pPr>
      <w:r>
        <w:rPr/>
        <w:t>一、保证责任的情形及保证金额</w:t>
      </w:r>
    </w:p>
    <w:p>
      <w:pPr>
        <w:ind w:firstLine="480"/>
      </w:pPr>
      <w:r>
        <w:rPr/>
        <w:t>（一）在投标（响应）人出现下列情形之一时，我方承担保证责任：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（二）我方承担保证责任的最高金额为人民币__________元（大写）即本项目的投标（响应）保证金金额。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我方的保证期间为：本保函自__年__月__日起生效，有效期至开标日后的90天内。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因本保函发生的纠纷，由你我双方协商解决，协商不成的，通过诉讼程序解决，诉讼管辖地法院为________法院。</w:t>
      </w:r>
    </w:p>
    <w:p>
      <w:pPr>
        <w:ind w:firstLine="480"/>
      </w:pPr>
      <w:r>
        <w:rPr/>
        <w:t>七、保函的生效</w:t>
      </w:r>
    </w:p>
    <w:p>
      <w:pPr>
        <w:ind w:firstLine="480"/>
      </w:pPr>
      <w:r>
        <w:rPr/>
        <w:t>本保函自我方加盖公章之日起生效。</w:t>
      </w:r>
    </w:p>
    <w:p>
      <w:pPr>
        <w:ind w:firstLine="480"/>
      </w:pPr>
    </w:p>
    <w:p>
      <w:pPr>
        <w:jc w:val="right"/>
      </w:pPr>
      <w:r>
        <w:rPr/>
        <w:t>保证人：_______（公章）_______</w:t>
      </w:r>
    </w:p>
    <w:p>
      <w:pPr>
        <w:jc w:val="right"/>
      </w:pPr>
      <w:r>
        <w:rPr/>
        <w:t>联系人：________________联系电话：_______________</w:t>
      </w:r>
    </w:p>
    <w:p>
      <w:pPr>
        <w:jc w:val="right"/>
      </w:pPr>
      <w:r>
        <w:rPr/>
        <w:t>___年___月___日</w:t>
      </w:r>
    </w:p>
    <w:p>
      <w:pPr>
        <w:ind w:firstLine="480"/>
      </w:pPr>
    </w:p>
    <w:p>
      <w:r>
        <w:rPr/>
        <w:t xml:space="preserve"> </w:t>
      </w:r>
    </w:p>
    <w:p/>
    <w:p>
      <w:r>
        <w:rPr>
          <w:b/>
          <w:sz w:val="28"/>
        </w:rPr>
        <w:t>格式二十五：</w:t>
      </w:r>
    </w:p>
    <w:p>
      <w:pPr>
        <w:jc w:val="center"/>
      </w:pPr>
      <w:r>
        <w:rPr>
          <w:b/>
          <w:sz w:val="24"/>
        </w:rPr>
        <w:t>政府采购履约担保函</w:t>
      </w:r>
    </w:p>
    <w:p>
      <w:r>
        <w:rPr/>
        <w:t>编号：</w:t>
      </w:r>
    </w:p>
    <w:p>
      <w:pPr>
        <w:ind w:firstLine="480"/>
      </w:pPr>
      <w:r>
        <w:rPr/>
        <w:t>（采购人）：</w:t>
      </w:r>
    </w:p>
    <w:p>
      <w:pPr>
        <w:ind w:firstLine="480"/>
      </w:pPr>
      <w:r>
        <w:rPr/>
        <w:t>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ind w:firstLine="480"/>
      </w:pPr>
      <w:r>
        <w:rPr/>
        <w:t>一、保证金额</w:t>
      </w:r>
    </w:p>
    <w:p>
      <w:pPr>
        <w:ind w:firstLine="480"/>
      </w:pPr>
      <w:r>
        <w:rPr/>
        <w:t>我方的保证范围是主合同约定的合同价款总额的___%，数额为__________（大写），币种为</w:t>
      </w:r>
      <w:r>
        <w:rPr>
          <w:u w:val="single"/>
        </w:rPr>
        <w:t>人民币</w:t>
      </w:r>
      <w:r>
        <w:rPr/>
        <w:t>（即主合同履约保证金金额）。</w:t>
      </w:r>
    </w:p>
    <w:p>
      <w:pPr>
        <w:ind w:firstLine="480"/>
      </w:pPr>
      <w:r>
        <w:rPr/>
        <w:t>二、我方保证的方式为：连带责任保证。</w:t>
      </w:r>
    </w:p>
    <w:p>
      <w:pPr>
        <w:ind w:firstLine="480"/>
      </w:pPr>
      <w:r>
        <w:rPr/>
        <w:t>三、我方保证的期间为：本保函自开立之日起生效，至  年  月  日止。</w:t>
      </w:r>
    </w:p>
    <w:p>
      <w:pPr>
        <w:ind w:firstLine="480"/>
      </w:pPr>
      <w:r>
        <w:rPr/>
        <w:t>四、在本保函的有效期内，如被保证人违反上述合同或协议约定的义务，我方将在收到你方提交的本保函文件及符合下列全部条件的索赔通知后</w:t>
      </w:r>
      <w:r>
        <w:rPr>
          <w:u w:val="single"/>
        </w:rPr>
        <w:t>30</w:t>
      </w:r>
      <w:r>
        <w:rPr/>
        <w:t>个工作日内以上述保证金额为限支付你方索赔金额:</w:t>
      </w:r>
    </w:p>
    <w:p>
      <w:pPr>
        <w:ind w:firstLine="480"/>
      </w:pPr>
      <w:r>
        <w:rPr/>
        <w:t>(一)索赔通知文件必须以书面形式提出，列明索赔金额，并由你方法定代表人(负责人)或授权代理人签字并加盖公章;</w:t>
      </w:r>
    </w:p>
    <w:p>
      <w:pPr>
        <w:ind w:firstLine="480"/>
      </w:pPr>
      <w:r>
        <w:rPr/>
        <w:t>(二)索赔通知文件必须同时附有:</w:t>
      </w:r>
    </w:p>
    <w:p>
      <w:pPr>
        <w:ind w:firstLine="480"/>
      </w:pPr>
      <w:r>
        <w:rPr/>
        <w:t>1.一项书面声明，声明索赔款项并未由被保证人或其代理人直接或间接地支付给你方;</w:t>
      </w:r>
    </w:p>
    <w:p>
      <w:pPr>
        <w:ind w:firstLine="480"/>
      </w:pPr>
      <w:r>
        <w:rPr/>
        <w:t>2.证明被保证人违反上述合同或协议约定的义务以及有责任支付你方索赔金额的证据。</w:t>
      </w:r>
    </w:p>
    <w:p>
      <w:pPr>
        <w:ind w:firstLine="480"/>
      </w:pPr>
      <w:r>
        <w:rPr/>
        <w:t>(三)索赔通知文件必须在本保函有效期内到达以下地址：</w:t>
      </w:r>
    </w:p>
    <w:p>
      <w:pPr>
        <w:ind w:firstLine="480"/>
      </w:pPr>
      <w:r>
        <w:rPr/>
        <w:t>__________________________________________________。</w:t>
      </w:r>
    </w:p>
    <w:p>
      <w:pPr>
        <w:ind w:firstLine="480"/>
      </w:pPr>
      <w:r>
        <w:rPr/>
        <w:t>五、本保函保证金额将随被保证人逐步履行保函项下合同约定或法定的义务以及我方按你方索赔通知文件要求分次支付而相应递减。</w:t>
      </w:r>
    </w:p>
    <w:p>
      <w:pPr>
        <w:ind w:firstLine="480"/>
      </w:pPr>
      <w:r>
        <w:rPr/>
        <w:t>六、本保函项下的权利不得转让，不得设定担保。受益人未经我方书面同意转让本保函或其项下任何权利，我方在本保函项下的义务与责任全部消灭。</w:t>
      </w:r>
    </w:p>
    <w:p>
      <w:pPr>
        <w:ind w:firstLine="480"/>
      </w:pPr>
      <w:r>
        <w:rPr/>
        <w:t>七、本保函项下的合同或基础交易不成立、不生效、无效、被撤销、被解除，本保函无效;被保证人基于保函项下的合同或基础交易或其他原因的抗辩，我方均有权主张。</w:t>
      </w:r>
    </w:p>
    <w:p>
      <w:pPr>
        <w:ind w:firstLine="480"/>
      </w:pPr>
      <w:r>
        <w:rPr/>
        <w:t>八、因本保函发生争议协商解决不成，按以下第</w:t>
      </w:r>
      <w:r>
        <w:rPr>
          <w:u w:val="single"/>
        </w:rPr>
        <w:t>(一)</w:t>
      </w:r>
      <w:r>
        <w:rPr/>
        <w:t>种方式解决:</w:t>
      </w:r>
    </w:p>
    <w:p>
      <w:pPr>
        <w:ind w:firstLine="480"/>
      </w:pPr>
      <w:r>
        <w:rPr/>
        <w:t>(一)向我方所在地的人民法院起诉。</w:t>
      </w:r>
    </w:p>
    <w:p>
      <w:pPr>
        <w:ind w:firstLine="480"/>
      </w:pPr>
      <w:r>
        <w:rPr/>
        <w:t>(二)提交</w:t>
      </w:r>
      <w:r>
        <w:rPr>
          <w:u w:val="single"/>
        </w:rPr>
        <w:t>此栏空白</w:t>
      </w:r>
      <w:r>
        <w:rPr/>
        <w:t>仲裁委员会(仲裁地点为此栏空白)按照申请仲裁时该会现行有效的仲裁规则进行仲裁。仲裁裁决是终局的，对双方均有约束力。</w:t>
      </w:r>
    </w:p>
    <w:p>
      <w:pPr>
        <w:ind w:firstLine="480"/>
      </w:pPr>
      <w:r>
        <w:rPr/>
        <w:t>九、本保函适用中华人民共和国法律。</w:t>
      </w:r>
    </w:p>
    <w:p>
      <w:pPr>
        <w:ind w:firstLine="480"/>
      </w:pPr>
      <w:r>
        <w:rPr/>
        <w:t>十、其他条款:</w:t>
      </w:r>
    </w:p>
    <w:p>
      <w:pPr>
        <w:ind w:firstLine="480"/>
      </w:pPr>
      <w:r>
        <w:rPr/>
        <w:t>1.本保函有效期届满或提前终止，本保函自动失效，我方在本保函项下的义务与责任自动全部消灭，此后提出的任何索赔均为无效索赔，我方无义务作出任何赔付。</w:t>
      </w:r>
    </w:p>
    <w:p>
      <w:pPr>
        <w:ind w:firstLine="480"/>
      </w:pPr>
      <w:r>
        <w:rPr/>
        <w:t>2.所有索赔通知必须在我方工作时间内到达本保函规定的地址。</w:t>
      </w:r>
    </w:p>
    <w:p>
      <w:pPr>
        <w:ind w:firstLine="480"/>
      </w:pPr>
      <w:r>
        <w:rPr/>
        <w:t>十一、本保函自我方盖章之日起生效。</w:t>
      </w:r>
    </w:p>
    <w:p>
      <w:r>
        <w:rPr/>
        <w:t>保证人：___________(盖章)</w:t>
      </w:r>
    </w:p>
    <w:p>
      <w:r>
        <w:rPr/>
        <w:t>联系地址：_______________</w:t>
      </w:r>
    </w:p>
    <w:p>
      <w:r>
        <w:rPr/>
        <w:t>联系电话：_______________</w:t>
      </w:r>
    </w:p>
    <w:p>
      <w:r>
        <w:rPr/>
        <w:t>开立日期：___年___月___日</w:t>
      </w:r>
    </w:p>
    <w:p>
      <w:pPr>
        <w:jc w:val="center"/>
      </w:pPr>
      <w:r>
        <w:rPr>
          <w:b/>
          <w:sz w:val="24"/>
        </w:rPr>
        <w:t>采购合同履约保险凭证</w:t>
      </w:r>
    </w:p>
    <w:p>
      <w:r>
        <w:rPr/>
        <w:t>致被保险人__________：</w:t>
      </w:r>
    </w:p>
    <w:p>
      <w:pPr>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ind w:firstLine="480"/>
      </w:pPr>
      <w:r>
        <w:rPr/>
        <w:t>一、我公司对上述采购项目出具的《采购合同履约保证保险》保单号：</w:t>
      </w:r>
    </w:p>
    <w:p>
      <w:pPr>
        <w:ind w:firstLine="480"/>
      </w:pPr>
      <w:r>
        <w:rPr/>
        <w:t>二、上述保单项下我公司的保险金额（最高限额）：人民币           （￥：  元）</w:t>
      </w:r>
    </w:p>
    <w:p>
      <w:pPr>
        <w:ind w:firstLine="480"/>
      </w:pPr>
      <w:r>
        <w:rPr/>
        <w:t>上述全部保险单的保险金额随投保人逐步履行采购合同约定的义务或我公司的赔付而递减。</w:t>
      </w:r>
    </w:p>
    <w:p>
      <w:pPr>
        <w:ind w:firstLine="480"/>
      </w:pPr>
      <w:r>
        <w:rPr/>
        <w:t>三、本保险的保险期间自____年___月___日___时起至___年___月___日___时止，共计___天。</w:t>
      </w:r>
    </w:p>
    <w:p>
      <w:pPr>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30</w:t>
      </w:r>
      <w:r>
        <w:rPr/>
        <w:t>个工作日内以上述保险金额为限，支付你方索赔金额。</w:t>
      </w:r>
    </w:p>
    <w:p>
      <w:pPr>
        <w:ind w:firstLine="480"/>
      </w:pPr>
      <w:r>
        <w:rPr/>
        <w:t>（一）投保人未按照采购合同约定的时间、地点交付采购标的；</w:t>
      </w:r>
    </w:p>
    <w:p>
      <w:pPr>
        <w:ind w:firstLine="480"/>
      </w:pPr>
      <w:r>
        <w:rPr/>
        <w:t>（二）投保人供应采购标的的规格、型号、数量、质量等不符合《采购合同》的约定。</w:t>
      </w:r>
    </w:p>
    <w:p>
      <w:pPr>
        <w:ind w:firstLine="480"/>
      </w:pPr>
      <w:r>
        <w:rPr/>
        <w:t>五、索赔文件</w:t>
      </w:r>
    </w:p>
    <w:p>
      <w:pPr>
        <w:ind w:firstLine="480"/>
      </w:pPr>
      <w:r>
        <w:rPr/>
        <w:t>（一）经被保险人有权人签字、加盖被保险人公章的书面索赔声明正本，索赔声明须注明本保险凭证对应的保单号并申明如下事实：</w:t>
      </w:r>
    </w:p>
    <w:p>
      <w:pPr>
        <w:ind w:firstLine="480"/>
      </w:pPr>
      <w:r>
        <w:rPr/>
        <w:t>（1）投保人未履行采购合同相关义务；</w:t>
      </w:r>
    </w:p>
    <w:p>
      <w:pPr>
        <w:ind w:firstLine="480"/>
      </w:pPr>
      <w:r>
        <w:rPr/>
        <w:t>（2）投保人的违约事实。</w:t>
      </w:r>
    </w:p>
    <w:p>
      <w:pPr>
        <w:ind w:firstLine="480"/>
      </w:pPr>
      <w:r>
        <w:rPr/>
        <w:t>（二）保险单正本；</w:t>
      </w:r>
    </w:p>
    <w:p>
      <w:pPr>
        <w:ind w:firstLine="480"/>
      </w:pPr>
      <w:r>
        <w:rPr/>
        <w:t>（三）《采购合同》副本及与采购项目进展、质量、缺陷有关的证明文件（包括《中标通知书》、投标书及其附录、会议纪要、其他合同文件等）；</w:t>
      </w:r>
    </w:p>
    <w:p>
      <w:pPr>
        <w:ind w:firstLine="480"/>
      </w:pPr>
      <w:r>
        <w:rPr/>
        <w:t>（四）保险人要求投保人、被保险人所能提供的与确认保险事故的性质、原因、损失程度等有关的其他证明和资料；</w:t>
      </w:r>
    </w:p>
    <w:p>
      <w:pPr>
        <w:ind w:firstLine="480"/>
      </w:pPr>
      <w:r>
        <w:rPr/>
        <w:t>（五）仲裁机构出具的裁决书或法院出具的裁定书、判决书等生效法律文书（适用于仲裁或诉讼确认损失的方式）；</w:t>
      </w:r>
    </w:p>
    <w:p>
      <w:pPr>
        <w:ind w:firstLine="480"/>
      </w:pPr>
      <w:r>
        <w:rPr/>
        <w:t>六、未经保险人书面同意，本保险凭证与保险合同不得转让、质押，否则保险人在本保险凭证与保险合同项下的保险责任自动解除。</w:t>
      </w:r>
    </w:p>
    <w:p>
      <w:pPr>
        <w:ind w:firstLine="480"/>
      </w:pPr>
      <w:r>
        <w:rPr/>
        <w:t>七、本保证保险发生争议协商解决不成，向保险人所在地有管辖权的人民法院提起诉讼。</w:t>
      </w:r>
    </w:p>
    <w:p>
      <w:pPr>
        <w:ind w:firstLine="480"/>
      </w:pPr>
      <w:r>
        <w:rPr/>
        <w:t>八、本保证保险适用的保险条款为《_______________________》。</w:t>
      </w:r>
    </w:p>
    <w:p>
      <w:pPr>
        <w:ind w:firstLine="480"/>
      </w:pPr>
      <w:r>
        <w:rPr/>
        <w:t>九、保险责任免除及其他本保险凭证未载明事宜以保险合同约定为准。</w:t>
      </w:r>
    </w:p>
    <w:p>
      <w:pPr>
        <w:ind w:firstLine="480"/>
      </w:pPr>
      <w:r>
        <w:rPr/>
        <w:t>十、本保险凭证自保险人加盖保单专用章起生效。</w:t>
      </w:r>
    </w:p>
    <w:p>
      <w:r>
        <w:rPr/>
        <w:t>保证人：__________(盖章)</w:t>
      </w:r>
    </w:p>
    <w:p>
      <w:r>
        <w:rPr/>
        <w:t>地址：__________________</w:t>
      </w:r>
    </w:p>
    <w:p>
      <w:r>
        <w:rPr/>
        <w:t>电话：__________________</w:t>
      </w:r>
    </w:p>
    <w:p>
      <w:r>
        <w:rPr/>
        <w:t>开立日期：____年__月__日</w:t>
      </w:r>
    </w:p>
    <w:p>
      <w:pPr>
        <w:rPr>
          <w:rFonts w:hint="eastAsia"/>
          <w:lang w:val="en-US" w:eastAsia="zh-Hans"/>
        </w:rPr>
      </w:pPr>
      <w:r>
        <w:rPr/>
      </w: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lvl>
  </w:abstractNum>
  <w:abstractNum w:abstractNumId="1">
    <w:multiLevelType w:val="hybridMultilevel"/>
    <w:lvl w:ilvl="0">
      <w:start w:val="1"/>
      <w:numFmt w:val="decimal"/>
      <w:lvlText w:val="%1."/>
      <w:lvlJc w:val="left"/>
      <w:pPr>
        <w:ind w:left="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