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00" w:lineRule="exact"/>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顺德区罗定邦中学2023年面向全市招收</w:t>
      </w:r>
    </w:p>
    <w:p>
      <w:pPr>
        <w:pStyle w:val="2"/>
        <w:spacing w:line="500" w:lineRule="exact"/>
        <w:rPr>
          <w:rFonts w:ascii="方正小标宋简体" w:hAnsi="方正小标宋简体" w:eastAsia="方正小标宋简体" w:cs="方正小标宋简体"/>
          <w:b w:val="0"/>
          <w:bCs/>
          <w:color w:val="000000"/>
        </w:rPr>
      </w:pPr>
      <w:r>
        <w:rPr>
          <w:rFonts w:hint="eastAsia" w:ascii="方正小标宋简体" w:hAnsi="方正小标宋简体" w:eastAsia="方正小标宋简体" w:cs="方正小标宋简体"/>
          <w:sz w:val="36"/>
          <w:szCs w:val="36"/>
        </w:rPr>
        <w:t>体育特长生方案</w:t>
      </w:r>
    </w:p>
    <w:p>
      <w:pPr>
        <w:ind w:firstLine="560"/>
        <w:rPr>
          <w:rFonts w:ascii="仿宋" w:hAnsi="仿宋" w:cs="仿宋"/>
          <w:szCs w:val="28"/>
        </w:rPr>
      </w:pPr>
    </w:p>
    <w:p>
      <w:pPr>
        <w:ind w:firstLine="560"/>
        <w:rPr>
          <w:rFonts w:hint="eastAsia" w:ascii="仿宋_GB2312" w:hAnsi="仿宋_GB2312" w:eastAsia="仿宋_GB2312" w:cs="仿宋_GB2312"/>
          <w:b/>
          <w:bCs/>
          <w:color w:val="000000"/>
          <w:sz w:val="24"/>
        </w:rPr>
      </w:pPr>
      <w:r>
        <w:rPr>
          <w:rFonts w:hint="eastAsia" w:ascii="仿宋_GB2312" w:hAnsi="仿宋_GB2312" w:eastAsia="仿宋_GB2312" w:cs="仿宋_GB2312"/>
          <w:szCs w:val="28"/>
        </w:rPr>
        <w:t>根据市区推动普通高中优质多样特色化发展的精神，为满足不同潜质学生发展需要，促进学生多元成材，依据《佛山市2023年高中阶段学校招生考试工作意见》、《佛山市教育局关于做好佛山市2023年特长生考试招生工作的通知》，特制定2023年顺德区罗定邦中学体育特长生招生方案。</w:t>
      </w:r>
    </w:p>
    <w:p>
      <w:pPr>
        <w:pStyle w:val="3"/>
        <w:numPr>
          <w:ilvl w:val="0"/>
          <w:numId w:val="0"/>
        </w:numPr>
        <w:ind w:firstLine="562" w:firstLineChars="200"/>
        <w:rPr>
          <w:rFonts w:hint="eastAsia" w:ascii="仿宋_GB2312" w:hAnsi="仿宋_GB2312" w:eastAsia="仿宋_GB2312" w:cs="仿宋_GB2312"/>
        </w:rPr>
      </w:pPr>
      <w:r>
        <w:rPr>
          <w:rFonts w:hint="eastAsia" w:ascii="仿宋_GB2312" w:hAnsi="仿宋_GB2312" w:eastAsia="仿宋_GB2312" w:cs="仿宋_GB2312"/>
        </w:rPr>
        <w:t>一、招生计划</w:t>
      </w:r>
    </w:p>
    <w:tbl>
      <w:tblPr>
        <w:tblStyle w:val="10"/>
        <w:tblW w:w="8522"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shd w:val="clear" w:color="auto" w:fill="00B0F0"/>
          </w:tcPr>
          <w:p>
            <w:pPr>
              <w:ind w:firstLine="0" w:firstLineChars="0"/>
              <w:jc w:val="center"/>
              <w:rPr>
                <w:rFonts w:hint="eastAsia" w:ascii="仿宋_GB2312" w:hAnsi="仿宋_GB2312" w:eastAsia="仿宋_GB2312" w:cs="仿宋_GB2312"/>
                <w:b/>
                <w:bCs/>
                <w:kern w:val="0"/>
                <w:szCs w:val="28"/>
              </w:rPr>
            </w:pPr>
            <w:r>
              <w:rPr>
                <w:rFonts w:hint="eastAsia" w:ascii="仿宋_GB2312" w:hAnsi="仿宋_GB2312" w:eastAsia="仿宋_GB2312" w:cs="仿宋_GB2312"/>
                <w:b/>
                <w:bCs/>
                <w:kern w:val="0"/>
                <w:szCs w:val="28"/>
              </w:rPr>
              <w:t>招生类别</w:t>
            </w:r>
          </w:p>
        </w:tc>
        <w:tc>
          <w:tcPr>
            <w:tcW w:w="2841" w:type="dxa"/>
            <w:shd w:val="clear" w:color="auto" w:fill="00B0F0"/>
          </w:tcPr>
          <w:p>
            <w:pPr>
              <w:ind w:firstLine="0" w:firstLineChars="0"/>
              <w:jc w:val="center"/>
              <w:rPr>
                <w:rFonts w:hint="eastAsia" w:ascii="仿宋_GB2312" w:hAnsi="仿宋_GB2312" w:eastAsia="仿宋_GB2312" w:cs="仿宋_GB2312"/>
                <w:b/>
                <w:bCs/>
                <w:kern w:val="0"/>
                <w:szCs w:val="28"/>
              </w:rPr>
            </w:pPr>
            <w:r>
              <w:rPr>
                <w:rFonts w:hint="eastAsia" w:ascii="仿宋_GB2312" w:hAnsi="仿宋_GB2312" w:eastAsia="仿宋_GB2312" w:cs="仿宋_GB2312"/>
                <w:b/>
                <w:bCs/>
                <w:kern w:val="0"/>
                <w:szCs w:val="28"/>
              </w:rPr>
              <w:t>招生人数</w:t>
            </w:r>
          </w:p>
        </w:tc>
        <w:tc>
          <w:tcPr>
            <w:tcW w:w="2841" w:type="dxa"/>
            <w:shd w:val="clear" w:color="auto" w:fill="00B0F0"/>
          </w:tcPr>
          <w:p>
            <w:pPr>
              <w:ind w:firstLine="0" w:firstLineChars="0"/>
              <w:jc w:val="center"/>
              <w:rPr>
                <w:rFonts w:hint="eastAsia" w:ascii="仿宋_GB2312" w:hAnsi="仿宋_GB2312" w:eastAsia="仿宋_GB2312" w:cs="仿宋_GB2312"/>
                <w:b/>
                <w:bCs/>
                <w:kern w:val="0"/>
                <w:szCs w:val="28"/>
              </w:rPr>
            </w:pPr>
            <w:r>
              <w:rPr>
                <w:rFonts w:hint="eastAsia" w:ascii="仿宋_GB2312" w:hAnsi="仿宋_GB2312" w:eastAsia="仿宋_GB2312" w:cs="仿宋_GB2312"/>
                <w:b/>
                <w:bCs/>
                <w:kern w:val="0"/>
                <w:szCs w:val="28"/>
              </w:rPr>
              <w:t>招生批次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shd w:val="clear" w:color="auto" w:fill="FFE599" w:themeFill="accent4" w:themeFillTint="66"/>
          </w:tcPr>
          <w:p>
            <w:pPr>
              <w:ind w:firstLine="0" w:firstLineChars="0"/>
              <w:jc w:val="center"/>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排球体育特长生</w:t>
            </w:r>
          </w:p>
        </w:tc>
        <w:tc>
          <w:tcPr>
            <w:tcW w:w="2841" w:type="dxa"/>
            <w:shd w:val="clear" w:color="auto" w:fill="FFE599" w:themeFill="accent4" w:themeFillTint="66"/>
          </w:tcPr>
          <w:p>
            <w:pPr>
              <w:ind w:firstLine="0" w:firstLineChars="0"/>
              <w:jc w:val="center"/>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10人（男生）</w:t>
            </w:r>
          </w:p>
        </w:tc>
        <w:tc>
          <w:tcPr>
            <w:tcW w:w="2841" w:type="dxa"/>
            <w:shd w:val="clear" w:color="auto" w:fill="FFE599" w:themeFill="accent4" w:themeFillTint="66"/>
          </w:tcPr>
          <w:p>
            <w:pPr>
              <w:ind w:firstLine="0" w:firstLineChars="0"/>
              <w:jc w:val="center"/>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提前批</w:t>
            </w:r>
          </w:p>
        </w:tc>
      </w:tr>
    </w:tbl>
    <w:p>
      <w:pPr>
        <w:ind w:firstLine="0" w:firstLineChars="0"/>
        <w:rPr>
          <w:rFonts w:hint="eastAsia" w:ascii="仿宋_GB2312" w:hAnsi="仿宋_GB2312" w:eastAsia="仿宋_GB2312" w:cs="仿宋_GB2312"/>
        </w:rPr>
      </w:pPr>
    </w:p>
    <w:p>
      <w:pPr>
        <w:pStyle w:val="3"/>
        <w:numPr>
          <w:ilvl w:val="0"/>
          <w:numId w:val="0"/>
        </w:numPr>
        <w:ind w:firstLine="562" w:firstLineChars="200"/>
        <w:rPr>
          <w:rFonts w:hint="eastAsia" w:ascii="仿宋_GB2312" w:hAnsi="仿宋_GB2312" w:eastAsia="仿宋_GB2312" w:cs="仿宋_GB2312"/>
        </w:rPr>
      </w:pPr>
      <w:r>
        <w:rPr>
          <w:rFonts w:hint="eastAsia" w:ascii="仿宋_GB2312" w:hAnsi="仿宋_GB2312" w:eastAsia="仿宋_GB2312" w:cs="仿宋_GB2312"/>
        </w:rPr>
        <w:t>二、报考条件</w:t>
      </w:r>
    </w:p>
    <w:p>
      <w:pPr>
        <w:pStyle w:val="16"/>
        <w:ind w:firstLine="560" w:firstLineChars="200"/>
        <w:rPr>
          <w:rFonts w:hint="eastAsia" w:ascii="仿宋_GB2312" w:hAnsi="仿宋_GB2312" w:eastAsia="仿宋_GB2312" w:cs="仿宋_GB2312"/>
        </w:rPr>
      </w:pPr>
      <w:r>
        <w:rPr>
          <w:rFonts w:hint="eastAsia" w:ascii="仿宋_GB2312" w:hAnsi="仿宋_GB2312" w:eastAsia="仿宋_GB2312" w:cs="仿宋_GB2312"/>
        </w:rPr>
        <w:t>1.参加2023年佛山市中考并填报顺德罗定邦中学体育特长生志愿的本市户籍或享有同等报考资格、并达到我校术科项目报考要求的初中应届考生；</w:t>
      </w:r>
    </w:p>
    <w:p>
      <w:pPr>
        <w:pStyle w:val="16"/>
        <w:ind w:firstLine="560" w:firstLineChars="200"/>
        <w:rPr>
          <w:rFonts w:hint="eastAsia" w:ascii="仿宋_GB2312" w:hAnsi="仿宋_GB2312" w:eastAsia="仿宋_GB2312" w:cs="仿宋_GB2312"/>
        </w:rPr>
      </w:pPr>
      <w:r>
        <w:rPr>
          <w:rFonts w:hint="eastAsia" w:ascii="仿宋_GB2312" w:hAnsi="仿宋_GB2312" w:eastAsia="仿宋_GB2312" w:cs="仿宋_GB2312"/>
        </w:rPr>
        <w:t>2.参加佛山市组织的体育术科统一考试，</w:t>
      </w:r>
      <w:r>
        <w:rPr>
          <w:rFonts w:hint="eastAsia" w:ascii="仿宋_GB2312" w:hAnsi="仿宋_GB2312" w:eastAsia="仿宋_GB2312" w:cs="仿宋_GB2312"/>
          <w:u w:val="single"/>
        </w:rPr>
        <w:t>考试成绩达佛山市资格线以上</w:t>
      </w:r>
      <w:r>
        <w:rPr>
          <w:rFonts w:hint="eastAsia" w:ascii="仿宋_GB2312" w:hAnsi="仿宋_GB2312" w:eastAsia="仿宋_GB2312" w:cs="仿宋_GB2312"/>
        </w:rPr>
        <w:t>，并须具备以下条件之一：</w:t>
      </w:r>
    </w:p>
    <w:p>
      <w:pPr>
        <w:pStyle w:val="16"/>
        <w:ind w:firstLine="560" w:firstLineChars="200"/>
        <w:rPr>
          <w:rFonts w:hint="eastAsia" w:ascii="仿宋_GB2312" w:hAnsi="仿宋_GB2312" w:eastAsia="仿宋_GB2312" w:cs="仿宋_GB2312"/>
        </w:rPr>
      </w:pPr>
      <w:r>
        <w:rPr>
          <w:rFonts w:hint="eastAsia" w:ascii="仿宋_GB2312" w:hAnsi="仿宋_GB2312" w:eastAsia="仿宋_GB2312" w:cs="仿宋_GB2312"/>
        </w:rPr>
        <w:t>（1）获得区级教育、体育行政部门主办或参办的初中生男子各类</w:t>
      </w:r>
      <w:r>
        <w:rPr>
          <w:rFonts w:hint="eastAsia" w:ascii="仿宋_GB2312" w:hAnsi="仿宋_GB2312" w:eastAsia="仿宋_GB2312" w:cs="仿宋_GB2312"/>
          <w:u w:val="single"/>
        </w:rPr>
        <w:t>球类</w:t>
      </w:r>
      <w:r>
        <w:rPr>
          <w:rFonts w:hint="eastAsia" w:ascii="仿宋_GB2312" w:hAnsi="仿宋_GB2312" w:eastAsia="仿宋_GB2312" w:cs="仿宋_GB2312"/>
        </w:rPr>
        <w:t>比赛前四名；</w:t>
      </w:r>
    </w:p>
    <w:p>
      <w:pPr>
        <w:pStyle w:val="16"/>
        <w:ind w:firstLine="560" w:firstLineChars="200"/>
        <w:rPr>
          <w:rFonts w:hint="eastAsia" w:ascii="仿宋_GB2312" w:hAnsi="仿宋_GB2312" w:eastAsia="仿宋_GB2312" w:cs="仿宋_GB2312"/>
        </w:rPr>
      </w:pPr>
      <w:r>
        <w:rPr>
          <w:rFonts w:hint="eastAsia" w:ascii="仿宋_GB2312" w:hAnsi="仿宋_GB2312" w:eastAsia="仿宋_GB2312" w:cs="仿宋_GB2312"/>
        </w:rPr>
        <w:t>（2）获得市级以上教育、体育行政部门主办或参办的初中生男子</w:t>
      </w:r>
      <w:r>
        <w:rPr>
          <w:rFonts w:hint="eastAsia" w:ascii="仿宋_GB2312" w:hAnsi="仿宋_GB2312" w:eastAsia="仿宋_GB2312" w:cs="仿宋_GB2312"/>
          <w:u w:val="single"/>
        </w:rPr>
        <w:t>球类或田径</w:t>
      </w:r>
      <w:r>
        <w:rPr>
          <w:rFonts w:hint="eastAsia" w:ascii="仿宋_GB2312" w:hAnsi="仿宋_GB2312" w:eastAsia="仿宋_GB2312" w:cs="仿宋_GB2312"/>
        </w:rPr>
        <w:t>比赛前六名；</w:t>
      </w:r>
    </w:p>
    <w:p>
      <w:pPr>
        <w:pStyle w:val="16"/>
        <w:ind w:firstLine="560" w:firstLineChars="200"/>
        <w:rPr>
          <w:rFonts w:hint="eastAsia" w:ascii="仿宋_GB2312" w:hAnsi="仿宋_GB2312" w:eastAsia="仿宋_GB2312" w:cs="仿宋_GB2312"/>
        </w:rPr>
      </w:pPr>
      <w:r>
        <w:rPr>
          <w:rFonts w:hint="eastAsia" w:ascii="仿宋_GB2312" w:hAnsi="仿宋_GB2312" w:eastAsia="仿宋_GB2312" w:cs="仿宋_GB2312"/>
        </w:rPr>
        <w:t>（3）获国家二级运动员以上等级资格（含二级）；</w:t>
      </w:r>
    </w:p>
    <w:p>
      <w:pPr>
        <w:pStyle w:val="16"/>
        <w:ind w:firstLine="560" w:firstLineChars="200"/>
        <w:rPr>
          <w:rFonts w:hint="eastAsia" w:ascii="仿宋_GB2312" w:hAnsi="仿宋_GB2312" w:eastAsia="仿宋_GB2312" w:cs="仿宋_GB2312"/>
        </w:rPr>
      </w:pPr>
      <w:r>
        <w:rPr>
          <w:rFonts w:hint="eastAsia" w:ascii="仿宋_GB2312" w:hAnsi="仿宋_GB2312" w:eastAsia="仿宋_GB2312" w:cs="仿宋_GB2312"/>
        </w:rPr>
        <w:t>（4）</w:t>
      </w:r>
      <w:r>
        <w:rPr>
          <w:rFonts w:hint="eastAsia" w:ascii="仿宋_GB2312" w:hAnsi="仿宋_GB2312" w:eastAsia="仿宋_GB2312" w:cs="仿宋_GB2312"/>
          <w:u w:val="single"/>
        </w:rPr>
        <w:t>没有以上项目获奖证书，但掌握一定的球类、田径技能，身体素质出众，具有较高竞技水平，且能出具相关证明材料。</w:t>
      </w:r>
    </w:p>
    <w:p>
      <w:pPr>
        <w:pStyle w:val="16"/>
        <w:ind w:firstLine="560" w:firstLineChars="200"/>
        <w:rPr>
          <w:rFonts w:hint="eastAsia" w:ascii="仿宋_GB2312" w:hAnsi="仿宋_GB2312" w:eastAsia="仿宋_GB2312" w:cs="仿宋_GB2312"/>
        </w:rPr>
      </w:pPr>
      <w:r>
        <w:rPr>
          <w:rFonts w:hint="eastAsia" w:ascii="仿宋_GB2312" w:hAnsi="仿宋_GB2312" w:eastAsia="仿宋_GB2312" w:cs="仿宋_GB2312"/>
        </w:rPr>
        <w:t>1.思想品德良好，综合表现评定B等级及以上；</w:t>
      </w:r>
    </w:p>
    <w:p>
      <w:pPr>
        <w:pStyle w:val="16"/>
        <w:ind w:firstLine="560" w:firstLineChars="200"/>
        <w:rPr>
          <w:rFonts w:hint="eastAsia" w:ascii="仿宋_GB2312" w:hAnsi="仿宋_GB2312" w:eastAsia="仿宋_GB2312" w:cs="仿宋_GB2312"/>
          <w:u w:val="single"/>
        </w:rPr>
      </w:pPr>
      <w:r>
        <w:rPr>
          <w:rFonts w:hint="eastAsia" w:ascii="仿宋_GB2312" w:hAnsi="仿宋_GB2312" w:eastAsia="仿宋_GB2312" w:cs="仿宋_GB2312"/>
        </w:rPr>
        <w:t>2.</w:t>
      </w:r>
      <w:r>
        <w:rPr>
          <w:rFonts w:hint="eastAsia" w:ascii="仿宋_GB2312" w:hAnsi="仿宋_GB2312" w:eastAsia="仿宋_GB2312" w:cs="仿宋_GB2312"/>
          <w:u w:val="single"/>
        </w:rPr>
        <w:t>文化课要求：2023年中考成绩（含体育，满分720分）须达到480分以上（含480分）。</w:t>
      </w:r>
    </w:p>
    <w:p>
      <w:pPr>
        <w:pStyle w:val="3"/>
        <w:numPr>
          <w:ilvl w:val="0"/>
          <w:numId w:val="0"/>
        </w:numPr>
        <w:ind w:firstLine="562" w:firstLineChars="200"/>
        <w:rPr>
          <w:rFonts w:hint="eastAsia" w:ascii="仿宋_GB2312" w:hAnsi="仿宋_GB2312" w:eastAsia="仿宋_GB2312" w:cs="仿宋_GB2312"/>
        </w:rPr>
      </w:pPr>
      <w:r>
        <w:rPr>
          <w:rFonts w:hint="eastAsia" w:ascii="仿宋_GB2312" w:hAnsi="仿宋_GB2312" w:eastAsia="仿宋_GB2312" w:cs="仿宋_GB2312"/>
        </w:rPr>
        <w:t>三、报考办法</w:t>
      </w:r>
    </w:p>
    <w:p>
      <w:pPr>
        <w:pStyle w:val="4"/>
        <w:numPr>
          <w:ilvl w:val="0"/>
          <w:numId w:val="0"/>
        </w:numPr>
        <w:ind w:firstLine="562" w:firstLineChars="200"/>
        <w:rPr>
          <w:rFonts w:hint="eastAsia" w:ascii="仿宋_GB2312" w:hAnsi="仿宋_GB2312" w:eastAsia="仿宋_GB2312" w:cs="仿宋_GB2312"/>
        </w:rPr>
      </w:pPr>
      <w:r>
        <w:rPr>
          <w:rFonts w:hint="eastAsia" w:ascii="仿宋_GB2312" w:hAnsi="仿宋_GB2312" w:eastAsia="仿宋_GB2312" w:cs="仿宋_GB2312"/>
        </w:rPr>
        <w:t>（一）网上报名和资格审查</w:t>
      </w:r>
    </w:p>
    <w:p>
      <w:pPr>
        <w:pStyle w:val="16"/>
        <w:ind w:firstLine="560" w:firstLineChars="200"/>
        <w:rPr>
          <w:rFonts w:hint="eastAsia" w:ascii="仿宋_GB2312" w:hAnsi="仿宋_GB2312" w:eastAsia="仿宋_GB2312" w:cs="仿宋_GB2312"/>
          <w:u w:val="single"/>
        </w:rPr>
      </w:pPr>
      <w:r>
        <w:rPr>
          <w:rFonts w:hint="eastAsia" w:ascii="仿宋_GB2312" w:hAnsi="仿宋_GB2312" w:eastAsia="仿宋_GB2312" w:cs="仿宋_GB2312"/>
        </w:rPr>
        <w:t>1.符合我校体育特长生报名条件的学生，应在规定的时间内通过我校发布的链接方式进行网上登记和报名。</w:t>
      </w:r>
      <w:r>
        <w:rPr>
          <w:rFonts w:hint="eastAsia" w:ascii="仿宋_GB2312" w:hAnsi="仿宋_GB2312" w:eastAsia="仿宋_GB2312" w:cs="仿宋_GB2312"/>
          <w:u w:val="single"/>
        </w:rPr>
        <w:t>（报名链接将通过我校官网和微信公众号发布）</w:t>
      </w:r>
    </w:p>
    <w:p>
      <w:pPr>
        <w:pStyle w:val="16"/>
        <w:ind w:firstLine="560" w:firstLineChars="200"/>
        <w:rPr>
          <w:rFonts w:hint="eastAsia" w:ascii="仿宋_GB2312" w:hAnsi="仿宋_GB2312" w:eastAsia="仿宋_GB2312" w:cs="仿宋_GB2312"/>
        </w:rPr>
      </w:pPr>
      <w:r>
        <w:rPr>
          <w:rFonts w:hint="eastAsia" w:ascii="仿宋_GB2312" w:hAnsi="仿宋_GB2312" w:eastAsia="仿宋_GB2312" w:cs="仿宋_GB2312"/>
        </w:rPr>
        <w:t>2.网上登记报名后，请于2023年5月11日前到我校体育科组办公室提交以下材料：</w:t>
      </w:r>
      <w:r>
        <w:rPr>
          <w:rFonts w:hint="eastAsia" w:ascii="仿宋_GB2312" w:hAnsi="仿宋_GB2312" w:eastAsia="仿宋_GB2312" w:cs="仿宋_GB2312"/>
          <w:u w:val="single"/>
        </w:rPr>
        <w:t>（报名纸质材料只收复印件，后期不退回，请自行做好备份）</w:t>
      </w:r>
      <w:r>
        <w:rPr>
          <w:rFonts w:hint="eastAsia" w:ascii="仿宋_GB2312" w:hAnsi="仿宋_GB2312" w:eastAsia="仿宋_GB2312" w:cs="仿宋_GB2312"/>
        </w:rPr>
        <w:t>。联系人：吴老师，联系电话：</w:t>
      </w:r>
      <w:bookmarkStart w:id="0" w:name="_Hlk101515496"/>
      <w:r>
        <w:rPr>
          <w:rFonts w:hint="eastAsia" w:ascii="仿宋_GB2312" w:hAnsi="仿宋_GB2312" w:eastAsia="仿宋_GB2312" w:cs="仿宋_GB2312"/>
        </w:rPr>
        <w:t>18028173693</w:t>
      </w:r>
      <w:bookmarkEnd w:id="0"/>
      <w:r>
        <w:rPr>
          <w:rFonts w:hint="eastAsia" w:ascii="仿宋_GB2312" w:hAnsi="仿宋_GB2312" w:eastAsia="仿宋_GB2312" w:cs="仿宋_GB2312"/>
        </w:rPr>
        <w:t>。</w:t>
      </w:r>
    </w:p>
    <w:p>
      <w:pPr>
        <w:pStyle w:val="17"/>
        <w:ind w:firstLine="560"/>
        <w:rPr>
          <w:rFonts w:hint="eastAsia" w:ascii="仿宋_GB2312" w:hAnsi="仿宋_GB2312" w:eastAsia="仿宋_GB2312" w:cs="仿宋_GB2312"/>
        </w:rPr>
      </w:pPr>
      <w:r>
        <w:rPr>
          <w:rFonts w:hint="eastAsia" w:ascii="仿宋_GB2312" w:hAnsi="仿宋_GB2312" w:eastAsia="仿宋_GB2312" w:cs="仿宋_GB2312"/>
        </w:rPr>
        <w:t>考生身份证及户口本的复印件；</w:t>
      </w:r>
    </w:p>
    <w:p>
      <w:pPr>
        <w:pStyle w:val="17"/>
        <w:ind w:firstLine="560"/>
        <w:rPr>
          <w:rFonts w:hint="eastAsia" w:ascii="仿宋_GB2312" w:hAnsi="仿宋_GB2312" w:eastAsia="仿宋_GB2312" w:cs="仿宋_GB2312"/>
        </w:rPr>
      </w:pPr>
      <w:r>
        <w:rPr>
          <w:rFonts w:hint="eastAsia" w:ascii="仿宋_GB2312" w:hAnsi="仿宋_GB2312" w:eastAsia="仿宋_GB2312" w:cs="仿宋_GB2312"/>
        </w:rPr>
        <w:t>初中阶段竞赛成绩证书、运动员等级证书的复印件；</w:t>
      </w:r>
    </w:p>
    <w:p>
      <w:pPr>
        <w:pStyle w:val="17"/>
        <w:ind w:firstLine="560"/>
        <w:rPr>
          <w:rFonts w:hint="eastAsia" w:ascii="仿宋_GB2312" w:hAnsi="仿宋_GB2312" w:eastAsia="仿宋_GB2312" w:cs="仿宋_GB2312"/>
        </w:rPr>
      </w:pPr>
      <w:r>
        <w:rPr>
          <w:rFonts w:hint="eastAsia" w:ascii="仿宋_GB2312" w:hAnsi="仿宋_GB2312" w:eastAsia="仿宋_GB2312" w:cs="仿宋_GB2312"/>
        </w:rPr>
        <w:t>初中阶段其它获奖证书的复印件；</w:t>
      </w:r>
    </w:p>
    <w:p>
      <w:pPr>
        <w:pStyle w:val="17"/>
        <w:ind w:firstLine="560"/>
        <w:rPr>
          <w:rFonts w:hint="eastAsia" w:ascii="仿宋_GB2312" w:hAnsi="仿宋_GB2312" w:eastAsia="仿宋_GB2312" w:cs="仿宋_GB2312"/>
        </w:rPr>
      </w:pPr>
      <w:r>
        <w:rPr>
          <w:rFonts w:hint="eastAsia" w:ascii="仿宋_GB2312" w:hAnsi="仿宋_GB2312" w:eastAsia="仿宋_GB2312" w:cs="仿宋_GB2312"/>
        </w:rPr>
        <w:t>获奖证书及成绩册相对应的秩序册复印件（秩序册封面和列有本人姓名的页面）；</w:t>
      </w:r>
    </w:p>
    <w:p>
      <w:pPr>
        <w:ind w:firstLine="560"/>
        <w:rPr>
          <w:rFonts w:hint="eastAsia" w:ascii="仿宋_GB2312" w:hAnsi="仿宋_GB2312" w:eastAsia="仿宋_GB2312" w:cs="仿宋_GB2312"/>
          <w:u w:val="single"/>
        </w:rPr>
      </w:pPr>
      <w:r>
        <w:rPr>
          <w:rFonts w:hint="eastAsia" w:ascii="仿宋_GB2312" w:hAnsi="仿宋_GB2312" w:eastAsia="仿宋_GB2312" w:cs="仿宋_GB2312"/>
          <w:u w:val="single"/>
        </w:rPr>
        <w:t>特别注意：在规定时间内未向我校提交上述材料的考生，一律不作入围人选推荐参加招生录取。</w:t>
      </w:r>
    </w:p>
    <w:p>
      <w:pPr>
        <w:pStyle w:val="15"/>
        <w:ind w:firstLine="560"/>
        <w:rPr>
          <w:rFonts w:hint="eastAsia" w:ascii="仿宋_GB2312" w:hAnsi="仿宋_GB2312" w:eastAsia="仿宋_GB2312" w:cs="仿宋_GB2312"/>
        </w:rPr>
      </w:pPr>
      <w:r>
        <w:rPr>
          <w:rFonts w:hint="eastAsia" w:ascii="仿宋_GB2312" w:hAnsi="仿宋_GB2312" w:eastAsia="仿宋_GB2312" w:cs="仿宋_GB2312"/>
        </w:rPr>
        <w:t>3.我校根据考生提交材料进行资格审查，并通过学校官网或者微信公众号公布通过我校资格审查的考生名单。</w:t>
      </w:r>
    </w:p>
    <w:p>
      <w:pPr>
        <w:pStyle w:val="4"/>
        <w:numPr>
          <w:ilvl w:val="0"/>
          <w:numId w:val="0"/>
        </w:numPr>
        <w:ind w:firstLine="562" w:firstLineChars="200"/>
        <w:rPr>
          <w:rFonts w:hint="eastAsia" w:ascii="仿宋_GB2312" w:hAnsi="仿宋_GB2312" w:eastAsia="仿宋_GB2312" w:cs="仿宋_GB2312"/>
        </w:rPr>
      </w:pPr>
      <w:bookmarkStart w:id="1" w:name="_Hlk101515320"/>
      <w:r>
        <w:rPr>
          <w:rFonts w:hint="eastAsia" w:ascii="仿宋_GB2312" w:hAnsi="仿宋_GB2312" w:eastAsia="仿宋_GB2312" w:cs="仿宋_GB2312"/>
        </w:rPr>
        <w:t>（二）参加罗定邦中学体育专项测试</w:t>
      </w:r>
    </w:p>
    <w:bookmarkEnd w:id="1"/>
    <w:p>
      <w:pPr>
        <w:pStyle w:val="16"/>
        <w:ind w:firstLine="560" w:firstLineChars="200"/>
        <w:rPr>
          <w:rFonts w:hint="eastAsia" w:ascii="仿宋_GB2312" w:hAnsi="仿宋_GB2312" w:eastAsia="仿宋_GB2312" w:cs="仿宋_GB2312"/>
          <w:b/>
          <w:bCs/>
          <w:u w:val="single"/>
        </w:rPr>
      </w:pPr>
      <w:bookmarkStart w:id="2" w:name="_Hlk101515376"/>
      <w:r>
        <w:rPr>
          <w:rFonts w:hint="eastAsia" w:ascii="仿宋_GB2312" w:hAnsi="仿宋_GB2312" w:eastAsia="仿宋_GB2312" w:cs="仿宋_GB2312"/>
        </w:rPr>
        <w:t>通过资格审查的考生须参加我校组织的体育专项测试，测试具体时间和地点由我校另行通知，请密切关注我校微信公众号与校园网最新消息。</w:t>
      </w:r>
      <w:bookmarkEnd w:id="2"/>
    </w:p>
    <w:p>
      <w:pPr>
        <w:pStyle w:val="3"/>
        <w:numPr>
          <w:ilvl w:val="0"/>
          <w:numId w:val="0"/>
        </w:numPr>
        <w:ind w:firstLine="562" w:firstLineChars="200"/>
        <w:rPr>
          <w:rFonts w:hint="eastAsia" w:ascii="仿宋_GB2312" w:hAnsi="仿宋_GB2312" w:eastAsia="仿宋_GB2312" w:cs="仿宋_GB2312"/>
        </w:rPr>
      </w:pPr>
      <w:r>
        <w:rPr>
          <w:rFonts w:hint="eastAsia" w:ascii="仿宋_GB2312" w:hAnsi="仿宋_GB2312" w:eastAsia="仿宋_GB2312" w:cs="仿宋_GB2312"/>
        </w:rPr>
        <w:t>四、招生录取程序和录取办法</w:t>
      </w:r>
    </w:p>
    <w:p>
      <w:pPr>
        <w:pStyle w:val="18"/>
        <w:numPr>
          <w:ilvl w:val="0"/>
          <w:numId w:val="0"/>
        </w:numPr>
        <w:ind w:firstLine="560" w:firstLineChars="200"/>
        <w:rPr>
          <w:rFonts w:hint="eastAsia" w:ascii="仿宋_GB2312" w:hAnsi="仿宋_GB2312" w:eastAsia="仿宋_GB2312" w:cs="仿宋_GB2312"/>
        </w:rPr>
      </w:pPr>
      <w:r>
        <w:rPr>
          <w:rFonts w:hint="eastAsia" w:ascii="仿宋_GB2312" w:hAnsi="仿宋_GB2312" w:eastAsia="仿宋_GB2312" w:cs="仿宋_GB2312"/>
          <w:color w:val="auto"/>
        </w:rPr>
        <w:t>（一）根据我校组织的专项测试成绩</w:t>
      </w:r>
      <w:r>
        <w:rPr>
          <w:rFonts w:hint="eastAsia" w:ascii="仿宋_GB2312" w:hAnsi="仿宋_GB2312" w:eastAsia="仿宋_GB2312" w:cs="仿宋_GB2312"/>
        </w:rPr>
        <w:t>确定</w:t>
      </w:r>
      <w:r>
        <w:rPr>
          <w:rFonts w:hint="eastAsia" w:ascii="仿宋_GB2312" w:hAnsi="仿宋_GB2312" w:eastAsia="仿宋_GB2312" w:cs="仿宋_GB2312"/>
          <w:u w:val="single"/>
        </w:rPr>
        <w:t>初</w:t>
      </w:r>
      <w:r>
        <w:rPr>
          <w:rFonts w:hint="eastAsia" w:ascii="仿宋_GB2312" w:hAnsi="仿宋_GB2312" w:eastAsia="仿宋_GB2312" w:cs="仿宋_GB2312"/>
          <w:color w:val="auto"/>
          <w:u w:val="single"/>
        </w:rPr>
        <w:t>选入围</w:t>
      </w:r>
      <w:r>
        <w:rPr>
          <w:rFonts w:hint="eastAsia" w:ascii="仿宋_GB2312" w:hAnsi="仿宋_GB2312" w:eastAsia="仿宋_GB2312" w:cs="仿宋_GB2312"/>
          <w:u w:val="single"/>
        </w:rPr>
        <w:t>名单，报区教育局同意后上报佛山市招生办公示</w:t>
      </w:r>
      <w:r>
        <w:rPr>
          <w:rFonts w:hint="eastAsia" w:ascii="仿宋_GB2312" w:hAnsi="仿宋_GB2312" w:eastAsia="仿宋_GB2312" w:cs="仿宋_GB2312"/>
        </w:rPr>
        <w:t>。如有弄虚作假和舞弊行为者，一经发现，取消其录取资格。</w:t>
      </w:r>
    </w:p>
    <w:p>
      <w:pPr>
        <w:pStyle w:val="18"/>
        <w:numPr>
          <w:ilvl w:val="0"/>
          <w:numId w:val="0"/>
        </w:numPr>
        <w:ind w:firstLine="560" w:firstLineChars="200"/>
        <w:rPr>
          <w:rFonts w:hint="eastAsia" w:ascii="仿宋_GB2312" w:hAnsi="仿宋_GB2312" w:eastAsia="仿宋_GB2312" w:cs="仿宋_GB2312"/>
        </w:rPr>
      </w:pPr>
      <w:r>
        <w:rPr>
          <w:rFonts w:hint="eastAsia" w:ascii="仿宋_GB2312" w:hAnsi="仿宋_GB2312" w:eastAsia="仿宋_GB2312" w:cs="仿宋_GB2312"/>
        </w:rPr>
        <w:t>（二）根据入围考生所填报的志愿，在投档过程中，按考生志愿，</w:t>
      </w:r>
      <w:r>
        <w:rPr>
          <w:rFonts w:hint="eastAsia" w:ascii="仿宋_GB2312" w:hAnsi="仿宋_GB2312" w:eastAsia="仿宋_GB2312" w:cs="仿宋_GB2312"/>
          <w:u w:val="single"/>
        </w:rPr>
        <w:t>对于符合中考成绩达480分以上（含480分）者，</w:t>
      </w:r>
      <w:r>
        <w:rPr>
          <w:rFonts w:hint="eastAsia" w:ascii="仿宋_GB2312" w:hAnsi="仿宋_GB2312" w:eastAsia="仿宋_GB2312" w:cs="仿宋_GB2312"/>
        </w:rPr>
        <w:t>使用合成总分由高到低依次录取，若招生学校计划数末名有两人或以上考生合成总分相同，则采用“同分比较原则”找出优先者。</w:t>
      </w:r>
      <w:r>
        <w:rPr>
          <w:rFonts w:hint="eastAsia" w:ascii="仿宋_GB2312" w:hAnsi="仿宋_GB2312" w:eastAsia="仿宋_GB2312" w:cs="仿宋_GB2312"/>
          <w:u w:val="single"/>
        </w:rPr>
        <w:t>（合成总分计算公式：合成总分=文化科成绩（满分720分，含加分）×50%+专项测试（满分100分）×7.2（专项测试换算成720分系数）×50%。）</w:t>
      </w:r>
    </w:p>
    <w:p>
      <w:pPr>
        <w:ind w:firstLine="560"/>
        <w:rPr>
          <w:rFonts w:hint="eastAsia" w:ascii="仿宋_GB2312" w:hAnsi="仿宋_GB2312" w:eastAsia="仿宋_GB2312" w:cs="仿宋_GB2312"/>
        </w:rPr>
      </w:pPr>
      <w:r>
        <w:rPr>
          <w:rFonts w:hint="eastAsia" w:ascii="仿宋_GB2312" w:hAnsi="仿宋_GB2312" w:eastAsia="仿宋_GB2312" w:cs="仿宋_GB2312"/>
        </w:rPr>
        <w:t>本实施方案由佛山市顺德区罗定邦中学招收体育特长生工作领导小组负责解释。</w:t>
      </w:r>
      <w:r>
        <w:rPr>
          <w:rFonts w:hint="eastAsia" w:ascii="仿宋_GB2312" w:hAnsi="仿宋_GB2312" w:eastAsia="仿宋_GB2312" w:cs="仿宋_GB2312"/>
        </w:rPr>
        <w:br w:type="textWrapping"/>
      </w:r>
      <w:r>
        <w:rPr>
          <w:rFonts w:hint="eastAsia" w:ascii="仿宋_GB2312" w:hAnsi="仿宋_GB2312" w:eastAsia="仿宋_GB2312" w:cs="仿宋_GB2312"/>
        </w:rPr>
        <w:t xml:space="preserve">　　                  </w:t>
      </w:r>
    </w:p>
    <w:p>
      <w:pPr>
        <w:ind w:firstLine="560"/>
        <w:jc w:val="right"/>
        <w:rPr>
          <w:rFonts w:hint="eastAsia" w:ascii="仿宋_GB2312" w:hAnsi="仿宋_GB2312" w:eastAsia="仿宋_GB2312" w:cs="仿宋_GB2312"/>
        </w:rPr>
      </w:pPr>
      <w:r>
        <w:rPr>
          <w:rFonts w:hint="eastAsia" w:ascii="仿宋_GB2312" w:hAnsi="仿宋_GB2312" w:eastAsia="仿宋_GB2312" w:cs="仿宋_GB2312"/>
        </w:rPr>
        <w:t>佛山市顺德区罗定邦中学</w:t>
      </w:r>
    </w:p>
    <w:p>
      <w:pPr>
        <w:ind w:firstLine="560"/>
        <w:jc w:val="center"/>
        <w:rPr>
          <w:rFonts w:hint="eastAsia" w:ascii="仿宋_GB2312" w:hAnsi="仿宋_GB2312" w:eastAsia="仿宋_GB2312" w:cs="仿宋_GB2312"/>
        </w:rPr>
      </w:pPr>
      <w:r>
        <w:rPr>
          <w:rFonts w:hint="eastAsia" w:ascii="仿宋_GB2312" w:hAnsi="仿宋_GB2312" w:eastAsia="仿宋_GB2312" w:cs="仿宋_GB2312"/>
        </w:rPr>
        <w:t xml:space="preserve">                                 </w:t>
      </w:r>
      <w:bookmarkStart w:id="3" w:name="_GoBack"/>
      <w:bookmarkEnd w:id="3"/>
      <w:r>
        <w:rPr>
          <w:rFonts w:hint="eastAsia" w:ascii="仿宋_GB2312" w:hAnsi="仿宋_GB2312" w:eastAsia="仿宋_GB2312" w:cs="仿宋_GB2312"/>
        </w:rPr>
        <w:t xml:space="preserve"> 2023年4月</w:t>
      </w:r>
    </w:p>
    <w:p>
      <w:pPr>
        <w:ind w:firstLine="0" w:firstLineChars="0"/>
        <w:rPr>
          <w:u w:val="single"/>
        </w:rPr>
      </w:pPr>
    </w:p>
    <w:p>
      <w:pPr>
        <w:pStyle w:val="5"/>
        <w:spacing w:line="560" w:lineRule="exact"/>
        <w:ind w:firstLine="0" w:firstLineChars="0"/>
        <w:jc w:val="both"/>
        <w:rPr>
          <w:rFonts w:ascii="黑体" w:hAnsi="黑体" w:eastAsia="黑体"/>
          <w:szCs w:val="32"/>
        </w:rPr>
      </w:pPr>
      <w:r>
        <w:rPr>
          <w:rFonts w:hint="eastAsia" w:ascii="黑体" w:hAnsi="黑体" w:eastAsia="黑体"/>
          <w:szCs w:val="32"/>
        </w:rPr>
        <w:t>附件：</w:t>
      </w:r>
    </w:p>
    <w:p>
      <w:pPr>
        <w:spacing w:line="240" w:lineRule="auto"/>
        <w:ind w:firstLine="720"/>
        <w:jc w:val="center"/>
        <w:rPr>
          <w:rFonts w:ascii="Cambria" w:hAnsi="Cambria" w:eastAsia="方正小标宋简体"/>
          <w:sz w:val="44"/>
          <w:szCs w:val="44"/>
        </w:rPr>
      </w:pPr>
      <w:r>
        <w:rPr>
          <w:rFonts w:hint="eastAsia" w:ascii="方正小标宋简体" w:hAnsi="方正小标宋简体" w:eastAsia="方正小标宋简体" w:cs="方正小标宋简体"/>
          <w:sz w:val="36"/>
          <w:szCs w:val="36"/>
        </w:rPr>
        <w:t>罗定邦中学2023年体育专项测试须知</w:t>
      </w:r>
    </w:p>
    <w:p>
      <w:pPr>
        <w:pStyle w:val="3"/>
        <w:numPr>
          <w:ilvl w:val="0"/>
          <w:numId w:val="0"/>
        </w:numPr>
        <w:ind w:firstLine="723" w:firstLineChars="200"/>
        <w:rPr>
          <w:sz w:val="36"/>
          <w:szCs w:val="36"/>
        </w:rPr>
      </w:pPr>
    </w:p>
    <w:p>
      <w:pPr>
        <w:pStyle w:val="3"/>
        <w:numPr>
          <w:ilvl w:val="0"/>
          <w:numId w:val="0"/>
        </w:numPr>
        <w:ind w:firstLine="562" w:firstLineChars="200"/>
      </w:pPr>
      <w:r>
        <w:rPr>
          <w:rFonts w:hint="eastAsia"/>
        </w:rPr>
        <w:t>一、考试内容</w:t>
      </w:r>
    </w:p>
    <w:p>
      <w:pPr>
        <w:ind w:firstLine="560"/>
        <w:rPr>
          <w:rFonts w:ascii="仿宋" w:hAnsi="仿宋" w:cs="仿宋"/>
        </w:rPr>
      </w:pPr>
      <w:r>
        <w:rPr>
          <w:rFonts w:hint="eastAsia" w:ascii="仿宋" w:hAnsi="仿宋" w:cs="仿宋"/>
        </w:rPr>
        <w:t>身体素质（80分）+专项（20分）（满分100分）。</w:t>
      </w:r>
    </w:p>
    <w:p>
      <w:pPr>
        <w:pStyle w:val="15"/>
        <w:numPr>
          <w:ilvl w:val="0"/>
          <w:numId w:val="5"/>
        </w:numPr>
        <w:ind w:firstLineChars="0"/>
        <w:rPr>
          <w:rFonts w:ascii="仿宋" w:hAnsi="仿宋"/>
          <w:b/>
          <w:szCs w:val="28"/>
        </w:rPr>
      </w:pPr>
      <w:r>
        <w:rPr>
          <w:rFonts w:hint="eastAsia" w:ascii="仿宋" w:hAnsi="仿宋"/>
          <w:b/>
          <w:szCs w:val="28"/>
        </w:rPr>
        <w:t>身体素质考试内容</w:t>
      </w:r>
    </w:p>
    <w:p>
      <w:pPr>
        <w:ind w:firstLine="560"/>
        <w:rPr>
          <w:rFonts w:ascii="仿宋" w:hAnsi="仿宋"/>
          <w:bCs/>
          <w:szCs w:val="28"/>
        </w:rPr>
      </w:pPr>
      <w:r>
        <w:rPr>
          <w:rFonts w:hint="eastAsia" w:ascii="仿宋" w:hAnsi="仿宋"/>
          <w:bCs/>
          <w:szCs w:val="28"/>
        </w:rPr>
        <w:t>100米跑（</w:t>
      </w:r>
      <w:r>
        <w:rPr>
          <w:rFonts w:ascii="仿宋" w:hAnsi="仿宋"/>
          <w:bCs/>
          <w:szCs w:val="28"/>
        </w:rPr>
        <w:t>30</w:t>
      </w:r>
      <w:r>
        <w:rPr>
          <w:rFonts w:hint="eastAsia" w:ascii="仿宋" w:hAnsi="仿宋"/>
          <w:bCs/>
          <w:szCs w:val="28"/>
        </w:rPr>
        <w:t>分）+ 立定三级跳（</w:t>
      </w:r>
      <w:r>
        <w:rPr>
          <w:rFonts w:ascii="仿宋" w:hAnsi="仿宋"/>
          <w:bCs/>
          <w:szCs w:val="28"/>
        </w:rPr>
        <w:t>30</w:t>
      </w:r>
      <w:r>
        <w:rPr>
          <w:rFonts w:hint="eastAsia" w:ascii="仿宋" w:hAnsi="仿宋"/>
          <w:bCs/>
          <w:szCs w:val="28"/>
        </w:rPr>
        <w:t>分）+原地推铅球（</w:t>
      </w:r>
      <w:r>
        <w:rPr>
          <w:rFonts w:ascii="仿宋" w:hAnsi="仿宋"/>
          <w:bCs/>
          <w:szCs w:val="28"/>
        </w:rPr>
        <w:t>20</w:t>
      </w:r>
      <w:r>
        <w:rPr>
          <w:rFonts w:hint="eastAsia" w:ascii="仿宋" w:hAnsi="仿宋"/>
          <w:bCs/>
          <w:szCs w:val="28"/>
        </w:rPr>
        <w:t>分）</w:t>
      </w:r>
    </w:p>
    <w:p>
      <w:pPr>
        <w:ind w:firstLine="0" w:firstLineChars="0"/>
        <w:rPr>
          <w:rFonts w:ascii="仿宋" w:hAnsi="仿宋"/>
          <w:bCs/>
          <w:szCs w:val="28"/>
        </w:rPr>
      </w:pPr>
      <w:r>
        <w:rPr>
          <w:rFonts w:hint="eastAsia" w:ascii="仿宋" w:hAnsi="仿宋"/>
          <w:bCs/>
          <w:szCs w:val="28"/>
        </w:rPr>
        <w:t>（满分80分）。</w:t>
      </w:r>
    </w:p>
    <w:p>
      <w:pPr>
        <w:pStyle w:val="15"/>
        <w:numPr>
          <w:ilvl w:val="0"/>
          <w:numId w:val="5"/>
        </w:numPr>
        <w:ind w:firstLineChars="0"/>
        <w:rPr>
          <w:rFonts w:ascii="仿宋" w:hAnsi="仿宋"/>
          <w:b/>
          <w:szCs w:val="28"/>
        </w:rPr>
      </w:pPr>
      <w:r>
        <w:rPr>
          <w:rFonts w:hint="eastAsia" w:ascii="仿宋" w:hAnsi="仿宋"/>
          <w:b/>
          <w:szCs w:val="28"/>
        </w:rPr>
        <w:t>专项考试内容</w:t>
      </w:r>
    </w:p>
    <w:p>
      <w:pPr>
        <w:tabs>
          <w:tab w:val="right" w:pos="8306"/>
        </w:tabs>
        <w:ind w:firstLine="560"/>
        <w:rPr>
          <w:rFonts w:ascii="仿宋" w:hAnsi="仿宋"/>
          <w:bCs/>
          <w:szCs w:val="28"/>
        </w:rPr>
      </w:pPr>
      <w:r>
        <w:rPr>
          <w:rFonts w:hint="eastAsia" w:ascii="仿宋" w:hAnsi="仿宋"/>
          <w:bCs/>
          <w:szCs w:val="28"/>
        </w:rPr>
        <w:t>排球发球（</w:t>
      </w:r>
      <w:r>
        <w:rPr>
          <w:rFonts w:ascii="仿宋" w:hAnsi="仿宋"/>
          <w:bCs/>
          <w:szCs w:val="28"/>
        </w:rPr>
        <w:t>20</w:t>
      </w:r>
      <w:r>
        <w:rPr>
          <w:rFonts w:hint="eastAsia" w:ascii="仿宋" w:hAnsi="仿宋"/>
          <w:bCs/>
          <w:szCs w:val="28"/>
        </w:rPr>
        <w:t>分）</w:t>
      </w:r>
      <w:r>
        <w:rPr>
          <w:rFonts w:hint="eastAsia" w:ascii="仿宋" w:hAnsi="仿宋" w:cs="仿宋"/>
        </w:rPr>
        <w:t>（满分</w:t>
      </w:r>
      <w:r>
        <w:rPr>
          <w:rFonts w:ascii="仿宋" w:hAnsi="仿宋" w:cs="仿宋"/>
        </w:rPr>
        <w:t>20</w:t>
      </w:r>
      <w:r>
        <w:rPr>
          <w:rFonts w:hint="eastAsia" w:ascii="仿宋" w:hAnsi="仿宋" w:cs="仿宋"/>
        </w:rPr>
        <w:t>分）</w:t>
      </w:r>
      <w:r>
        <w:rPr>
          <w:rFonts w:hint="eastAsia" w:ascii="仿宋" w:hAnsi="仿宋"/>
          <w:bCs/>
          <w:szCs w:val="28"/>
        </w:rPr>
        <w:t>。</w:t>
      </w:r>
      <w:r>
        <w:rPr>
          <w:rFonts w:ascii="仿宋" w:hAnsi="仿宋"/>
          <w:bCs/>
          <w:szCs w:val="28"/>
        </w:rPr>
        <w:tab/>
      </w:r>
    </w:p>
    <w:p>
      <w:pPr>
        <w:pStyle w:val="3"/>
        <w:numPr>
          <w:ilvl w:val="0"/>
          <w:numId w:val="0"/>
        </w:numPr>
        <w:ind w:firstLine="562" w:firstLineChars="200"/>
      </w:pPr>
      <w:r>
        <w:rPr>
          <w:rFonts w:hint="eastAsia"/>
        </w:rPr>
        <w:t>二、考试方法及评分标准</w:t>
      </w:r>
    </w:p>
    <w:p>
      <w:pPr>
        <w:pStyle w:val="15"/>
        <w:numPr>
          <w:ilvl w:val="0"/>
          <w:numId w:val="6"/>
        </w:numPr>
        <w:ind w:firstLineChars="0"/>
        <w:rPr>
          <w:rFonts w:ascii="仿宋" w:hAnsi="仿宋"/>
          <w:b/>
          <w:szCs w:val="28"/>
        </w:rPr>
      </w:pPr>
      <w:r>
        <w:rPr>
          <w:rFonts w:hint="eastAsia" w:ascii="仿宋" w:hAnsi="仿宋"/>
          <w:b/>
          <w:szCs w:val="28"/>
        </w:rPr>
        <w:t>100米跑</w:t>
      </w:r>
    </w:p>
    <w:p>
      <w:pPr>
        <w:pStyle w:val="16"/>
        <w:ind w:firstLine="560" w:firstLineChars="200"/>
      </w:pPr>
      <w:r>
        <w:rPr>
          <w:rFonts w:hint="eastAsia"/>
        </w:rPr>
        <w:t>1.按田径运动最新竞赛规则100米跑的规定进行测评,电子计时每道三表。</w:t>
      </w:r>
    </w:p>
    <w:p>
      <w:pPr>
        <w:pStyle w:val="16"/>
        <w:ind w:firstLine="560" w:firstLineChars="200"/>
      </w:pPr>
      <w:r>
        <w:rPr>
          <w:rFonts w:hint="eastAsia"/>
        </w:rPr>
        <w:t>2.评分标准：</w:t>
      </w:r>
    </w:p>
    <w:p>
      <w:pPr>
        <w:ind w:firstLine="560"/>
        <w:rPr>
          <w:rFonts w:ascii="仿宋" w:hAnsi="仿宋" w:cs="仿宋"/>
        </w:rPr>
      </w:pPr>
      <w:r>
        <w:rPr>
          <w:rFonts w:hint="eastAsia" w:ascii="仿宋" w:hAnsi="仿宋" w:cs="仿宋"/>
        </w:rPr>
        <w:t>100米成绩评分标准表（男子），分值折半计入总分。</w:t>
      </w:r>
    </w:p>
    <w:tbl>
      <w:tblPr>
        <w:tblStyle w:val="9"/>
        <w:tblW w:w="8364" w:type="dxa"/>
        <w:tblInd w:w="4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13"/>
        <w:gridCol w:w="850"/>
        <w:gridCol w:w="1417"/>
        <w:gridCol w:w="850"/>
        <w:gridCol w:w="1198"/>
        <w:gridCol w:w="85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分值</w:t>
            </w:r>
          </w:p>
        </w:tc>
        <w:tc>
          <w:tcPr>
            <w:tcW w:w="12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成绩（秒）</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分值</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成绩（秒）</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分值</w:t>
            </w:r>
          </w:p>
        </w:tc>
        <w:tc>
          <w:tcPr>
            <w:tcW w:w="119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成绩（秒）</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分值</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60</w:t>
            </w:r>
          </w:p>
        </w:tc>
        <w:tc>
          <w:tcPr>
            <w:tcW w:w="12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12"3</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44</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13"1</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28</w:t>
            </w:r>
          </w:p>
        </w:tc>
        <w:tc>
          <w:tcPr>
            <w:tcW w:w="119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13"9</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12</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58</w:t>
            </w:r>
          </w:p>
        </w:tc>
        <w:tc>
          <w:tcPr>
            <w:tcW w:w="12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12"4</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42</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13"2</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26</w:t>
            </w:r>
          </w:p>
        </w:tc>
        <w:tc>
          <w:tcPr>
            <w:tcW w:w="119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14"0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56</w:t>
            </w:r>
          </w:p>
        </w:tc>
        <w:tc>
          <w:tcPr>
            <w:tcW w:w="12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12"5</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40</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13"3</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24</w:t>
            </w:r>
          </w:p>
        </w:tc>
        <w:tc>
          <w:tcPr>
            <w:tcW w:w="119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14"1</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8</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54</w:t>
            </w:r>
          </w:p>
        </w:tc>
        <w:tc>
          <w:tcPr>
            <w:tcW w:w="12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12"6</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38</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13"4</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22</w:t>
            </w:r>
          </w:p>
        </w:tc>
        <w:tc>
          <w:tcPr>
            <w:tcW w:w="119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14"2</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6</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52</w:t>
            </w:r>
          </w:p>
        </w:tc>
        <w:tc>
          <w:tcPr>
            <w:tcW w:w="12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12"7</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36</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13"5</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20</w:t>
            </w:r>
          </w:p>
        </w:tc>
        <w:tc>
          <w:tcPr>
            <w:tcW w:w="119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14"3</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50</w:t>
            </w:r>
          </w:p>
        </w:tc>
        <w:tc>
          <w:tcPr>
            <w:tcW w:w="12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12"8</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34</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13"6</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18</w:t>
            </w:r>
          </w:p>
        </w:tc>
        <w:tc>
          <w:tcPr>
            <w:tcW w:w="119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14"4</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2</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48</w:t>
            </w:r>
          </w:p>
        </w:tc>
        <w:tc>
          <w:tcPr>
            <w:tcW w:w="12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12"9</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32</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13"7</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16</w:t>
            </w:r>
          </w:p>
        </w:tc>
        <w:tc>
          <w:tcPr>
            <w:tcW w:w="119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14"5</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46</w:t>
            </w:r>
          </w:p>
        </w:tc>
        <w:tc>
          <w:tcPr>
            <w:tcW w:w="12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13"0</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30</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13"8</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14</w:t>
            </w:r>
          </w:p>
        </w:tc>
        <w:tc>
          <w:tcPr>
            <w:tcW w:w="119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r>
              <w:rPr>
                <w:rFonts w:hint="eastAsia" w:ascii="仿宋" w:hAnsi="仿宋" w:cs="仿宋"/>
                <w:bCs/>
                <w:kern w:val="0"/>
                <w:sz w:val="24"/>
                <w:szCs w:val="24"/>
              </w:rPr>
              <w:t>14"6</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 w:val="24"/>
                <w:szCs w:val="24"/>
              </w:rPr>
            </w:pPr>
          </w:p>
        </w:tc>
      </w:tr>
    </w:tbl>
    <w:p>
      <w:pPr>
        <w:pStyle w:val="15"/>
        <w:numPr>
          <w:ilvl w:val="0"/>
          <w:numId w:val="6"/>
        </w:numPr>
        <w:ind w:firstLineChars="0"/>
        <w:rPr>
          <w:rFonts w:ascii="仿宋" w:hAnsi="仿宋"/>
          <w:b/>
          <w:szCs w:val="28"/>
        </w:rPr>
      </w:pPr>
      <w:r>
        <w:rPr>
          <w:rFonts w:hint="eastAsia" w:ascii="仿宋" w:hAnsi="仿宋"/>
          <w:b/>
          <w:szCs w:val="28"/>
        </w:rPr>
        <w:t>立定三级跳</w:t>
      </w:r>
    </w:p>
    <w:p>
      <w:pPr>
        <w:pStyle w:val="15"/>
        <w:ind w:firstLine="560"/>
      </w:pPr>
      <w:r>
        <w:rPr>
          <w:rFonts w:hint="eastAsia"/>
        </w:rPr>
        <w:t>立定三级跳成绩评分标准表（男子），分值折半计入总分。</w:t>
      </w:r>
    </w:p>
    <w:tbl>
      <w:tblPr>
        <w:tblStyle w:val="9"/>
        <w:tblW w:w="82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992"/>
        <w:gridCol w:w="992"/>
        <w:gridCol w:w="1134"/>
        <w:gridCol w:w="992"/>
        <w:gridCol w:w="1134"/>
        <w:gridCol w:w="993"/>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成绩（M）</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分值</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成绩（M）</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分值</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成绩（M）</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分值</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成绩（M）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8.5</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44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7.74</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28</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6.88</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12</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58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8.42</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42</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7.61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26</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6.78</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10</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56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8.34</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40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7.48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24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6.68</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54</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8.25</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38</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7.38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22</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6.58</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52</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8.16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36</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7.28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20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6.48</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4</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50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8.07</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34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7.18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18</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6.38</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2</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48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7.97</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32</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7.08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16</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6.28</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46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7.87</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30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6.98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6.18</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p>
        </w:tc>
      </w:tr>
    </w:tbl>
    <w:p>
      <w:pPr>
        <w:pStyle w:val="15"/>
        <w:numPr>
          <w:ilvl w:val="0"/>
          <w:numId w:val="6"/>
        </w:numPr>
        <w:ind w:firstLineChars="0"/>
        <w:rPr>
          <w:rFonts w:ascii="仿宋" w:hAnsi="仿宋"/>
          <w:b/>
          <w:szCs w:val="28"/>
        </w:rPr>
      </w:pPr>
      <w:r>
        <w:rPr>
          <w:rFonts w:hint="eastAsia" w:ascii="仿宋" w:hAnsi="仿宋"/>
          <w:b/>
          <w:szCs w:val="28"/>
        </w:rPr>
        <w:t>原地推铅球</w:t>
      </w:r>
    </w:p>
    <w:tbl>
      <w:tblPr>
        <w:tblStyle w:val="9"/>
        <w:tblW w:w="82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992"/>
        <w:gridCol w:w="992"/>
        <w:gridCol w:w="1134"/>
        <w:gridCol w:w="992"/>
        <w:gridCol w:w="1134"/>
        <w:gridCol w:w="993"/>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成绩（M）</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分值</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成绩（M）</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分值</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成绩（M）</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分值</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cs="仿宋"/>
                <w:bCs/>
                <w:kern w:val="0"/>
                <w:szCs w:val="28"/>
              </w:rPr>
            </w:pPr>
            <w:r>
              <w:rPr>
                <w:rFonts w:hint="eastAsia" w:ascii="仿宋" w:hAnsi="仿宋" w:cs="仿宋"/>
                <w:bCs/>
                <w:kern w:val="0"/>
                <w:szCs w:val="28"/>
              </w:rPr>
              <w:t>成绩（M）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20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8.86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15</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8.36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7.86</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5</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19</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8.76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8.26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9</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7.76</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4</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8.66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13</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8.16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7.66</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3</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17</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8.56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12</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8.06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7.56</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2</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8.46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11</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7.96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7.46</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1</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0" w:firstLineChars="0"/>
              <w:jc w:val="center"/>
              <w:rPr>
                <w:rFonts w:ascii="仿宋" w:hAnsi="仿宋" w:cs="仿宋"/>
                <w:bCs/>
                <w:kern w:val="0"/>
                <w:sz w:val="24"/>
                <w:szCs w:val="24"/>
              </w:rPr>
            </w:pPr>
            <w:r>
              <w:rPr>
                <w:rFonts w:hint="eastAsia" w:ascii="仿宋" w:hAnsi="仿宋" w:cs="仿宋"/>
                <w:bCs/>
                <w:kern w:val="0"/>
                <w:sz w:val="24"/>
                <w:szCs w:val="24"/>
              </w:rPr>
              <w:t>6.96</w:t>
            </w:r>
          </w:p>
        </w:tc>
      </w:tr>
    </w:tbl>
    <w:p>
      <w:pPr>
        <w:pStyle w:val="15"/>
        <w:numPr>
          <w:ilvl w:val="0"/>
          <w:numId w:val="6"/>
        </w:numPr>
        <w:ind w:firstLineChars="0"/>
        <w:rPr>
          <w:rFonts w:ascii="仿宋" w:hAnsi="仿宋"/>
          <w:b/>
          <w:szCs w:val="28"/>
        </w:rPr>
      </w:pPr>
      <w:r>
        <w:rPr>
          <w:rFonts w:hint="eastAsia" w:ascii="仿宋" w:hAnsi="仿宋"/>
          <w:b/>
          <w:szCs w:val="28"/>
        </w:rPr>
        <w:t>男子排球专项测试</w:t>
      </w:r>
    </w:p>
    <w:p>
      <w:pPr>
        <w:spacing w:line="220" w:lineRule="atLeast"/>
        <w:ind w:firstLine="0" w:firstLineChars="0"/>
      </w:pPr>
      <w:r>
        <w:rPr>
          <w:rFonts w:hint="eastAsia"/>
        </w:rPr>
        <w:t>发球考试（20</w:t>
      </w:r>
      <w:r>
        <w:rPr>
          <w:rFonts w:hint="eastAsia" w:ascii="宋体" w:hAnsi="宋体" w:eastAsia="宋体" w:cs="宋体"/>
        </w:rPr>
        <w:t>%</w:t>
      </w:r>
      <w:r>
        <w:rPr>
          <w:rFonts w:hint="eastAsia"/>
        </w:rPr>
        <w:t>，满分20分）</w:t>
      </w:r>
    </w:p>
    <w:p>
      <w:pPr>
        <w:pStyle w:val="15"/>
        <w:spacing w:line="220" w:lineRule="atLeast"/>
        <w:ind w:firstLine="560"/>
      </w:pPr>
      <w:r>
        <w:rPr>
          <w:rFonts w:hint="eastAsia"/>
        </w:rPr>
        <w:t>1.测试方法：考生持球在排球场端线后，每人连续发球10次。要求发球有速度、力量、效果好，球落在对方场区内。发球上手下手姿势要求不限，其他要求按《排球竞赛规则》进行。</w:t>
      </w:r>
    </w:p>
    <w:p>
      <w:pPr>
        <w:pStyle w:val="15"/>
        <w:spacing w:line="220" w:lineRule="atLeast"/>
        <w:ind w:firstLine="560"/>
      </w:pPr>
      <w:r>
        <w:rPr>
          <w:rFonts w:hint="eastAsia"/>
        </w:rPr>
        <w:t>2.评分标准：发球成功一次得2分，发球飞行速度慢、力量小酌情扣分，未发到对方场区内为发球失误无分。</w:t>
      </w:r>
    </w:p>
    <w:p>
      <w:pPr>
        <w:spacing w:line="220" w:lineRule="atLeast"/>
        <w:ind w:firstLine="0" w:firstLineChars="0"/>
      </w:pPr>
    </w:p>
    <w:p>
      <w:pPr>
        <w:spacing w:line="220" w:lineRule="atLeast"/>
        <w:ind w:firstLine="0" w:firstLineChars="0"/>
      </w:pPr>
    </w:p>
    <w:p>
      <w:pPr>
        <w:spacing w:line="220" w:lineRule="atLeast"/>
        <w:ind w:firstLine="0" w:firstLineChars="0"/>
      </w:pPr>
    </w:p>
    <w:p>
      <w:pPr>
        <w:spacing w:line="220" w:lineRule="atLeast"/>
        <w:ind w:firstLine="0" w:firstLineChars="0"/>
      </w:pPr>
    </w:p>
    <w:p>
      <w:pPr>
        <w:spacing w:line="220" w:lineRule="atLeast"/>
        <w:ind w:firstLine="0" w:firstLineChars="0"/>
      </w:pPr>
    </w:p>
    <w:p>
      <w:pPr>
        <w:spacing w:line="220" w:lineRule="atLeast"/>
        <w:ind w:firstLine="0" w:firstLineChars="0"/>
      </w:pPr>
    </w:p>
    <w:p>
      <w:pPr>
        <w:spacing w:line="220" w:lineRule="atLeast"/>
        <w:ind w:firstLine="0" w:firstLineChars="0"/>
      </w:pPr>
    </w:p>
    <w:p>
      <w:pPr>
        <w:spacing w:line="220" w:lineRule="atLeast"/>
        <w:ind w:firstLine="0" w:firstLineChars="0"/>
      </w:pPr>
    </w:p>
    <w:p>
      <w:pPr>
        <w:spacing w:line="220" w:lineRule="atLeast"/>
        <w:ind w:firstLine="0" w:firstLineChars="0"/>
      </w:pPr>
    </w:p>
    <w:p>
      <w:pPr>
        <w:spacing w:line="220" w:lineRule="atLeast"/>
        <w:ind w:firstLine="0" w:firstLineChars="0"/>
      </w:pPr>
    </w:p>
    <w:p>
      <w:pPr>
        <w:spacing w:line="220" w:lineRule="atLeast"/>
        <w:ind w:firstLine="0" w:firstLineChars="0"/>
      </w:pPr>
    </w:p>
    <w:p>
      <w:pPr>
        <w:spacing w:line="220" w:lineRule="atLeast"/>
        <w:ind w:firstLine="0" w:firstLineChars="0"/>
      </w:pPr>
    </w:p>
    <w:p>
      <w:pPr>
        <w:spacing w:line="220" w:lineRule="atLeast"/>
        <w:ind w:firstLine="0" w:firstLineChars="0"/>
      </w:pPr>
    </w:p>
    <w:p>
      <w:pPr>
        <w:ind w:firstLine="0" w:firstLineChars="0"/>
      </w:pPr>
    </w:p>
    <w:p>
      <w:pPr>
        <w:ind w:firstLine="560"/>
      </w:pPr>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华文仿宋">
    <w:altName w:val="仿宋"/>
    <w:panose1 w:val="02010600040101010101"/>
    <w:charset w:val="86"/>
    <w:family w:val="auto"/>
    <w:pitch w:val="default"/>
    <w:sig w:usb0="00000000" w:usb1="00000000" w:usb2="00000010" w:usb3="00000000" w:csb0="0004009F" w:csb1="00000000"/>
  </w:font>
  <w:font w:name="方正小标宋简体">
    <w:panose1 w:val="03000509000000000000"/>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85A6BD"/>
    <w:multiLevelType w:val="singleLevel"/>
    <w:tmpl w:val="8C85A6BD"/>
    <w:lvl w:ilvl="0" w:tentative="0">
      <w:start w:val="1"/>
      <w:numFmt w:val="chineseCounting"/>
      <w:suff w:val="nothing"/>
      <w:lvlText w:val="（%1）"/>
      <w:lvlJc w:val="left"/>
      <w:pPr>
        <w:ind w:left="0" w:firstLine="420"/>
      </w:pPr>
      <w:rPr>
        <w:rFonts w:hint="eastAsia"/>
      </w:rPr>
    </w:lvl>
  </w:abstractNum>
  <w:abstractNum w:abstractNumId="1">
    <w:nsid w:val="A34F41D5"/>
    <w:multiLevelType w:val="singleLevel"/>
    <w:tmpl w:val="A34F41D5"/>
    <w:lvl w:ilvl="0" w:tentative="0">
      <w:start w:val="1"/>
      <w:numFmt w:val="chineseCounting"/>
      <w:pStyle w:val="18"/>
      <w:suff w:val="nothing"/>
      <w:lvlText w:val="（%1）"/>
      <w:lvlJc w:val="left"/>
      <w:pPr>
        <w:ind w:left="148" w:firstLine="420"/>
      </w:pPr>
      <w:rPr>
        <w:rFonts w:hint="eastAsia"/>
      </w:rPr>
    </w:lvl>
  </w:abstractNum>
  <w:abstractNum w:abstractNumId="2">
    <w:nsid w:val="B654CC7F"/>
    <w:multiLevelType w:val="singleLevel"/>
    <w:tmpl w:val="B654CC7F"/>
    <w:lvl w:ilvl="0" w:tentative="0">
      <w:start w:val="1"/>
      <w:numFmt w:val="chineseCounting"/>
      <w:pStyle w:val="4"/>
      <w:suff w:val="nothing"/>
      <w:lvlText w:val="（%1）"/>
      <w:lvlJc w:val="left"/>
      <w:pPr>
        <w:tabs>
          <w:tab w:val="left" w:pos="0"/>
        </w:tabs>
        <w:ind w:left="0" w:firstLine="0"/>
      </w:pPr>
      <w:rPr>
        <w:rFonts w:hint="eastAsia"/>
      </w:rPr>
    </w:lvl>
  </w:abstractNum>
  <w:abstractNum w:abstractNumId="3">
    <w:nsid w:val="C252EE58"/>
    <w:multiLevelType w:val="singleLevel"/>
    <w:tmpl w:val="C252EE58"/>
    <w:lvl w:ilvl="0" w:tentative="0">
      <w:start w:val="1"/>
      <w:numFmt w:val="chineseCounting"/>
      <w:suff w:val="nothing"/>
      <w:lvlText w:val="（%1）"/>
      <w:lvlJc w:val="left"/>
      <w:pPr>
        <w:ind w:left="0" w:firstLine="420"/>
      </w:pPr>
      <w:rPr>
        <w:rFonts w:hint="eastAsia"/>
      </w:rPr>
    </w:lvl>
  </w:abstractNum>
  <w:abstractNum w:abstractNumId="4">
    <w:nsid w:val="F4528F5B"/>
    <w:multiLevelType w:val="singleLevel"/>
    <w:tmpl w:val="F4528F5B"/>
    <w:lvl w:ilvl="0" w:tentative="0">
      <w:start w:val="1"/>
      <w:numFmt w:val="chineseCounting"/>
      <w:pStyle w:val="3"/>
      <w:suff w:val="nothing"/>
      <w:lvlText w:val="%1、"/>
      <w:lvlJc w:val="left"/>
      <w:pPr>
        <w:ind w:left="0" w:firstLine="420"/>
      </w:pPr>
      <w:rPr>
        <w:rFonts w:hint="eastAsia"/>
      </w:rPr>
    </w:lvl>
  </w:abstractNum>
  <w:abstractNum w:abstractNumId="5">
    <w:nsid w:val="4EB742A0"/>
    <w:multiLevelType w:val="singleLevel"/>
    <w:tmpl w:val="4EB742A0"/>
    <w:lvl w:ilvl="0" w:tentative="0">
      <w:start w:val="1"/>
      <w:numFmt w:val="decimal"/>
      <w:pStyle w:val="17"/>
      <w:lvlText w:val="(%1)"/>
      <w:lvlJc w:val="left"/>
      <w:pPr>
        <w:ind w:left="425" w:hanging="425"/>
      </w:pPr>
      <w:rPr>
        <w:rFonts w:hint="default" w:ascii="宋体" w:hAnsi="宋体" w:eastAsia="宋体" w:cs="宋体"/>
      </w:r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DEA"/>
    <w:rsid w:val="00057250"/>
    <w:rsid w:val="00073D9D"/>
    <w:rsid w:val="00D76DEA"/>
    <w:rsid w:val="0A460394"/>
    <w:rsid w:val="227F0518"/>
    <w:rsid w:val="50E91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40" w:firstLineChars="200"/>
    </w:pPr>
    <w:rPr>
      <w:rFonts w:ascii="等线" w:hAnsi="等线" w:eastAsia="仿宋" w:cstheme="minorBidi"/>
      <w:kern w:val="2"/>
      <w:sz w:val="28"/>
      <w:szCs w:val="22"/>
      <w:lang w:val="en-US" w:eastAsia="zh-CN" w:bidi="ar-SA"/>
      <w14:ligatures w14:val="none"/>
    </w:rPr>
  </w:style>
  <w:style w:type="paragraph" w:styleId="2">
    <w:name w:val="heading 1"/>
    <w:basedOn w:val="1"/>
    <w:next w:val="1"/>
    <w:link w:val="11"/>
    <w:qFormat/>
    <w:uiPriority w:val="9"/>
    <w:pPr>
      <w:keepNext/>
      <w:keepLines/>
      <w:spacing w:before="240" w:after="240"/>
      <w:ind w:firstLine="0" w:firstLineChars="0"/>
      <w:jc w:val="center"/>
      <w:outlineLvl w:val="0"/>
    </w:pPr>
    <w:rPr>
      <w:rFonts w:eastAsia="微软雅黑" w:asciiTheme="minorHAnsi" w:hAnsiTheme="minorHAnsi"/>
      <w:b/>
      <w:kern w:val="44"/>
      <w:sz w:val="32"/>
    </w:rPr>
  </w:style>
  <w:style w:type="paragraph" w:styleId="3">
    <w:name w:val="heading 2"/>
    <w:basedOn w:val="1"/>
    <w:next w:val="1"/>
    <w:link w:val="12"/>
    <w:unhideWhenUsed/>
    <w:qFormat/>
    <w:uiPriority w:val="9"/>
    <w:pPr>
      <w:keepNext/>
      <w:keepLines/>
      <w:numPr>
        <w:ilvl w:val="0"/>
        <w:numId w:val="1"/>
      </w:numPr>
      <w:spacing w:before="100" w:after="100"/>
      <w:ind w:firstLine="0" w:firstLineChars="0"/>
      <w:outlineLvl w:val="1"/>
    </w:pPr>
    <w:rPr>
      <w:rFonts w:ascii="Arial" w:hAnsi="Arial" w:eastAsia="黑体"/>
      <w:b/>
    </w:rPr>
  </w:style>
  <w:style w:type="paragraph" w:styleId="4">
    <w:name w:val="heading 3"/>
    <w:basedOn w:val="1"/>
    <w:next w:val="1"/>
    <w:link w:val="13"/>
    <w:unhideWhenUsed/>
    <w:qFormat/>
    <w:uiPriority w:val="9"/>
    <w:pPr>
      <w:keepNext/>
      <w:keepLines/>
      <w:numPr>
        <w:ilvl w:val="0"/>
        <w:numId w:val="2"/>
      </w:numPr>
      <w:ind w:firstLineChars="0"/>
      <w:outlineLvl w:val="2"/>
    </w:pPr>
    <w:rPr>
      <w:rFonts w:asciiTheme="minorHAnsi" w:hAnsiTheme="minorHAnsi"/>
      <w:b/>
    </w:rPr>
  </w:style>
  <w:style w:type="character" w:default="1" w:styleId="8">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5">
    <w:name w:val="Salutation"/>
    <w:basedOn w:val="1"/>
    <w:next w:val="1"/>
    <w:link w:val="14"/>
    <w:qFormat/>
    <w:uiPriority w:val="0"/>
    <w:rPr>
      <w:rFonts w:ascii="华文仿宋" w:hAnsi="华文仿宋" w:eastAsia="华文仿宋" w:cs="Times New Roman"/>
      <w:sz w:val="32"/>
      <w:szCs w:val="24"/>
    </w:rPr>
  </w:style>
  <w:style w:type="paragraph" w:styleId="6">
    <w:name w:val="footer"/>
    <w:basedOn w:val="1"/>
    <w:link w:val="20"/>
    <w:unhideWhenUsed/>
    <w:qFormat/>
    <w:uiPriority w:val="99"/>
    <w:pPr>
      <w:tabs>
        <w:tab w:val="center" w:pos="4153"/>
        <w:tab w:val="right" w:pos="8306"/>
      </w:tabs>
      <w:snapToGrid w:val="0"/>
      <w:spacing w:line="240" w:lineRule="auto"/>
    </w:pPr>
    <w:rPr>
      <w:sz w:val="18"/>
      <w:szCs w:val="18"/>
    </w:rPr>
  </w:style>
  <w:style w:type="paragraph" w:styleId="7">
    <w:name w:val="header"/>
    <w:basedOn w:val="1"/>
    <w:link w:val="19"/>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table" w:styleId="10">
    <w:name w:val="Table Grid"/>
    <w:basedOn w:val="9"/>
    <w:qFormat/>
    <w:uiPriority w:val="59"/>
    <w:rPr>
      <w:rFonts w:eastAsia="微软雅黑"/>
      <w:kern w:val="0"/>
      <w:sz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标题 1 字符"/>
    <w:basedOn w:val="8"/>
    <w:link w:val="2"/>
    <w:qFormat/>
    <w:uiPriority w:val="9"/>
    <w:rPr>
      <w:rFonts w:eastAsia="微软雅黑"/>
      <w:b/>
      <w:kern w:val="44"/>
      <w:sz w:val="32"/>
      <w14:ligatures w14:val="none"/>
    </w:rPr>
  </w:style>
  <w:style w:type="character" w:customStyle="1" w:styleId="12">
    <w:name w:val="标题 2 字符"/>
    <w:basedOn w:val="8"/>
    <w:link w:val="3"/>
    <w:qFormat/>
    <w:uiPriority w:val="9"/>
    <w:rPr>
      <w:rFonts w:ascii="Arial" w:hAnsi="Arial" w:eastAsia="黑体"/>
      <w:b/>
      <w:sz w:val="28"/>
      <w14:ligatures w14:val="none"/>
    </w:rPr>
  </w:style>
  <w:style w:type="character" w:customStyle="1" w:styleId="13">
    <w:name w:val="标题 3 字符"/>
    <w:basedOn w:val="8"/>
    <w:link w:val="4"/>
    <w:qFormat/>
    <w:uiPriority w:val="9"/>
    <w:rPr>
      <w:rFonts w:eastAsia="仿宋"/>
      <w:b/>
      <w:sz w:val="28"/>
      <w14:ligatures w14:val="none"/>
    </w:rPr>
  </w:style>
  <w:style w:type="character" w:customStyle="1" w:styleId="14">
    <w:name w:val="称呼 字符"/>
    <w:basedOn w:val="8"/>
    <w:link w:val="5"/>
    <w:qFormat/>
    <w:uiPriority w:val="0"/>
    <w:rPr>
      <w:rFonts w:ascii="华文仿宋" w:hAnsi="华文仿宋" w:eastAsia="华文仿宋" w:cs="Times New Roman"/>
      <w:sz w:val="32"/>
      <w:szCs w:val="24"/>
      <w14:ligatures w14:val="none"/>
    </w:rPr>
  </w:style>
  <w:style w:type="paragraph" w:customStyle="1" w:styleId="15">
    <w:name w:val="列表段落1"/>
    <w:basedOn w:val="1"/>
    <w:qFormat/>
    <w:uiPriority w:val="34"/>
    <w:pPr>
      <w:ind w:firstLine="420"/>
    </w:pPr>
  </w:style>
  <w:style w:type="paragraph" w:customStyle="1" w:styleId="16">
    <w:name w:val="样式2"/>
    <w:basedOn w:val="1"/>
    <w:qFormat/>
    <w:uiPriority w:val="0"/>
    <w:pPr>
      <w:tabs>
        <w:tab w:val="left" w:pos="0"/>
      </w:tabs>
      <w:ind w:firstLine="0" w:firstLineChars="0"/>
    </w:pPr>
    <w:rPr>
      <w:rFonts w:asciiTheme="minorHAnsi" w:hAnsiTheme="minorHAnsi"/>
    </w:rPr>
  </w:style>
  <w:style w:type="paragraph" w:customStyle="1" w:styleId="17">
    <w:name w:val="样式4"/>
    <w:basedOn w:val="1"/>
    <w:qFormat/>
    <w:uiPriority w:val="0"/>
    <w:pPr>
      <w:numPr>
        <w:ilvl w:val="0"/>
        <w:numId w:val="3"/>
      </w:numPr>
      <w:ind w:left="0" w:firstLine="640"/>
    </w:pPr>
    <w:rPr>
      <w:rFonts w:asciiTheme="minorHAnsi" w:hAnsiTheme="minorHAnsi"/>
    </w:rPr>
  </w:style>
  <w:style w:type="paragraph" w:customStyle="1" w:styleId="18">
    <w:name w:val="样式5"/>
    <w:basedOn w:val="1"/>
    <w:qFormat/>
    <w:uiPriority w:val="0"/>
    <w:pPr>
      <w:numPr>
        <w:ilvl w:val="0"/>
        <w:numId w:val="4"/>
      </w:numPr>
    </w:pPr>
    <w:rPr>
      <w:rFonts w:asciiTheme="minorHAnsi" w:hAnsiTheme="minorHAnsi"/>
      <w:color w:val="000000" w:themeColor="text1"/>
      <w14:textFill>
        <w14:solidFill>
          <w14:schemeClr w14:val="tx1"/>
        </w14:solidFill>
      </w14:textFill>
    </w:rPr>
  </w:style>
  <w:style w:type="character" w:customStyle="1" w:styleId="19">
    <w:name w:val="页眉 字符"/>
    <w:basedOn w:val="8"/>
    <w:link w:val="7"/>
    <w:uiPriority w:val="99"/>
    <w:rPr>
      <w:rFonts w:ascii="等线" w:hAnsi="等线" w:eastAsia="仿宋"/>
      <w:sz w:val="18"/>
      <w:szCs w:val="18"/>
      <w14:ligatures w14:val="none"/>
    </w:rPr>
  </w:style>
  <w:style w:type="character" w:customStyle="1" w:styleId="20">
    <w:name w:val="页脚 字符"/>
    <w:basedOn w:val="8"/>
    <w:link w:val="6"/>
    <w:qFormat/>
    <w:uiPriority w:val="99"/>
    <w:rPr>
      <w:rFonts w:ascii="等线" w:hAnsi="等线" w:eastAsia="仿宋"/>
      <w:sz w:val="18"/>
      <w:szCs w:val="18"/>
      <w14:ligatures w14: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386</Words>
  <Characters>2205</Characters>
  <Lines>18</Lines>
  <Paragraphs>5</Paragraphs>
  <ScaleCrop>false</ScaleCrop>
  <LinksUpToDate>false</LinksUpToDate>
  <CharactersWithSpaces>2586</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2023-05-09T01:00:00Z</dcterms:created>
  <dc:creator>罗 露露</dc:creator>
  <cp:lastModifiedBy>张国樑</cp:lastModifiedBy>
  <dcterms:modified xsi:type="dcterms:W3CDTF">2023-05-09T01:29:10Z</dcterms:modified>
  <dc:title>顺德区罗定邦中学2023年面向全市招收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