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bCs/>
          <w:kern w:val="0"/>
          <w:sz w:val="36"/>
        </w:rPr>
      </w:pPr>
      <w:r>
        <w:rPr>
          <w:rFonts w:hint="eastAsia" w:ascii="宋体"/>
          <w:b/>
          <w:bCs/>
          <w:kern w:val="0"/>
          <w:sz w:val="36"/>
        </w:rPr>
        <w:t>202</w:t>
      </w:r>
      <w:r>
        <w:rPr>
          <w:rFonts w:ascii="宋体"/>
          <w:b/>
          <w:bCs/>
          <w:kern w:val="0"/>
          <w:sz w:val="36"/>
        </w:rPr>
        <w:t>4</w:t>
      </w:r>
      <w:r>
        <w:rPr>
          <w:rFonts w:hint="eastAsia" w:ascii="宋体"/>
          <w:b/>
          <w:bCs/>
          <w:kern w:val="0"/>
          <w:sz w:val="36"/>
        </w:rPr>
        <w:t>年佛山市第二中学招收体育特长生工作方案</w:t>
      </w:r>
    </w:p>
    <w:p>
      <w:pPr>
        <w:spacing w:line="400" w:lineRule="exact"/>
        <w:ind w:firstLine="480" w:firstLineChars="200"/>
        <w:rPr>
          <w:rFonts w:ascii="宋体"/>
          <w:kern w:val="0"/>
          <w:sz w:val="24"/>
        </w:rPr>
      </w:pPr>
    </w:p>
    <w:p>
      <w:pPr>
        <w:spacing w:line="400" w:lineRule="exact"/>
        <w:ind w:firstLine="480" w:firstLineChars="200"/>
        <w:rPr>
          <w:rFonts w:ascii="ˎ̥" w:hAnsi="ˎ̥"/>
          <w:sz w:val="24"/>
        </w:rPr>
      </w:pPr>
      <w:r>
        <w:rPr>
          <w:rFonts w:hint="eastAsia" w:ascii="宋体"/>
          <w:sz w:val="24"/>
        </w:rPr>
        <w:t>我校是</w:t>
      </w:r>
      <w:r>
        <w:rPr>
          <w:rFonts w:ascii="宋体"/>
          <w:sz w:val="24"/>
        </w:rPr>
        <w:t>佛山市原中考志愿提前批的9所学校之一，是佛山市11所精品高中之一，同时也是</w:t>
      </w:r>
      <w:r>
        <w:rPr>
          <w:rFonts w:hint="eastAsia" w:ascii="宋体"/>
          <w:sz w:val="24"/>
        </w:rPr>
        <w:t>中国可持续发展教育示范学校、</w:t>
      </w:r>
      <w:r>
        <w:rPr>
          <w:rFonts w:hint="eastAsia" w:ascii="ˎ̥" w:hAnsi="ˎ̥"/>
          <w:sz w:val="24"/>
        </w:rPr>
        <w:t>首批</w:t>
      </w:r>
      <w:r>
        <w:rPr>
          <w:rFonts w:ascii="ˎ̥" w:hAnsi="ˎ̥"/>
          <w:sz w:val="24"/>
        </w:rPr>
        <w:t>广东省国家级示范性</w:t>
      </w:r>
      <w:r>
        <w:rPr>
          <w:rFonts w:hint="eastAsia" w:ascii="ˎ̥" w:hAnsi="ˎ̥"/>
          <w:sz w:val="24"/>
        </w:rPr>
        <w:t>普通</w:t>
      </w:r>
      <w:r>
        <w:rPr>
          <w:rFonts w:ascii="ˎ̥" w:hAnsi="ˎ̥"/>
          <w:sz w:val="24"/>
        </w:rPr>
        <w:t>高中</w:t>
      </w:r>
      <w:r>
        <w:rPr>
          <w:rFonts w:hint="eastAsia" w:ascii="ˎ̥" w:hAnsi="ˎ̥"/>
          <w:sz w:val="24"/>
        </w:rPr>
        <w:t>、</w:t>
      </w:r>
      <w:r>
        <w:rPr>
          <w:rFonts w:hint="eastAsia"/>
          <w:sz w:val="24"/>
        </w:rPr>
        <w:t>全国首批校园足球特色学校，</w:t>
      </w:r>
      <w:r>
        <w:rPr>
          <w:rFonts w:ascii="ˎ̥" w:hAnsi="ˎ̥"/>
          <w:sz w:val="24"/>
        </w:rPr>
        <w:t>同时也是</w:t>
      </w:r>
      <w:r>
        <w:rPr>
          <w:rFonts w:hint="eastAsia" w:ascii="ˎ̥" w:hAnsi="ˎ̥"/>
          <w:sz w:val="24"/>
        </w:rPr>
        <w:t>禅城区田径体育</w:t>
      </w:r>
      <w:r>
        <w:rPr>
          <w:rFonts w:ascii="ˎ̥" w:hAnsi="ˎ̥"/>
          <w:sz w:val="24"/>
        </w:rPr>
        <w:t>传统项目学校。</w:t>
      </w:r>
      <w:r>
        <w:rPr>
          <w:rFonts w:hint="eastAsia" w:ascii="宋体"/>
          <w:sz w:val="24"/>
        </w:rPr>
        <w:t>为了全面贯彻党的教育方针，更好地履行</w:t>
      </w:r>
      <w:r>
        <w:rPr>
          <w:rFonts w:hint="eastAsia" w:ascii="ˎ̥" w:hAnsi="ˎ̥"/>
          <w:sz w:val="24"/>
        </w:rPr>
        <w:t>体育</w:t>
      </w:r>
      <w:r>
        <w:rPr>
          <w:rFonts w:ascii="ˎ̥" w:hAnsi="ˎ̥"/>
          <w:sz w:val="24"/>
        </w:rPr>
        <w:t>传统项目学校</w:t>
      </w:r>
      <w:r>
        <w:rPr>
          <w:rFonts w:hint="eastAsia" w:ascii="ˎ̥" w:hAnsi="ˎ̥"/>
          <w:sz w:val="24"/>
        </w:rPr>
        <w:t>的职责，培养更多高素质的</w:t>
      </w:r>
      <w:r>
        <w:rPr>
          <w:rFonts w:hint="eastAsia" w:ascii="宋体"/>
          <w:sz w:val="24"/>
        </w:rPr>
        <w:t>体育后备人才</w:t>
      </w:r>
      <w:r>
        <w:rPr>
          <w:rFonts w:hint="eastAsia" w:ascii="ˎ̥" w:hAnsi="ˎ̥"/>
          <w:sz w:val="24"/>
        </w:rPr>
        <w:t>，经佛山市教育局批准，2024年我校将面向全市招收具有较高运动水平的体育特长生。</w:t>
      </w:r>
    </w:p>
    <w:p>
      <w:pPr>
        <w:spacing w:line="400" w:lineRule="exact"/>
        <w:rPr>
          <w:rFonts w:ascii="宋体"/>
          <w:b/>
          <w:sz w:val="24"/>
        </w:rPr>
      </w:pPr>
      <w:r>
        <w:rPr>
          <w:rFonts w:hint="eastAsia" w:ascii="宋体"/>
          <w:b/>
          <w:sz w:val="24"/>
        </w:rPr>
        <w:t>一、佛山市第二中学</w:t>
      </w:r>
      <w:r>
        <w:rPr>
          <w:rFonts w:hint="eastAsia" w:ascii="ˎ̥" w:hAnsi="ˎ̥"/>
          <w:b/>
          <w:sz w:val="24"/>
        </w:rPr>
        <w:t>招收体育特长生工作领</w:t>
      </w:r>
      <w:r>
        <w:rPr>
          <w:rFonts w:hint="eastAsia" w:ascii="宋体"/>
          <w:b/>
          <w:sz w:val="24"/>
        </w:rPr>
        <w:t>导小组</w:t>
      </w:r>
    </w:p>
    <w:p>
      <w:pPr>
        <w:spacing w:line="400" w:lineRule="exact"/>
        <w:ind w:firstLine="480" w:firstLineChars="200"/>
        <w:rPr>
          <w:rFonts w:ascii="宋体"/>
          <w:sz w:val="24"/>
        </w:rPr>
      </w:pPr>
      <w:r>
        <w:rPr>
          <w:rFonts w:hint="eastAsia" w:ascii="宋体"/>
          <w:sz w:val="24"/>
        </w:rPr>
        <w:t>组长：李朝念书记</w:t>
      </w:r>
    </w:p>
    <w:p>
      <w:pPr>
        <w:spacing w:line="400" w:lineRule="exact"/>
        <w:ind w:firstLine="480" w:firstLineChars="200"/>
        <w:rPr>
          <w:rFonts w:ascii="宋体"/>
          <w:sz w:val="24"/>
        </w:rPr>
      </w:pPr>
      <w:r>
        <w:rPr>
          <w:rFonts w:hint="eastAsia" w:ascii="宋体"/>
          <w:sz w:val="24"/>
        </w:rPr>
        <w:t>副组长：陈武副书记、任登峰副校长</w:t>
      </w:r>
    </w:p>
    <w:p>
      <w:pPr>
        <w:spacing w:line="400" w:lineRule="exact"/>
        <w:ind w:firstLine="480" w:firstLineChars="200"/>
        <w:rPr>
          <w:rFonts w:ascii="宋体"/>
          <w:sz w:val="24"/>
        </w:rPr>
      </w:pPr>
      <w:r>
        <w:rPr>
          <w:rFonts w:hint="eastAsia" w:ascii="宋体"/>
          <w:sz w:val="24"/>
        </w:rPr>
        <w:t>成员：戴浩万主任、张友仁副主任、梁源主任、胡燕副主任、黄志强科长、李衡等体育科老师。</w:t>
      </w:r>
    </w:p>
    <w:p>
      <w:pPr>
        <w:spacing w:line="400" w:lineRule="exact"/>
        <w:ind w:firstLine="480" w:firstLineChars="200"/>
        <w:rPr>
          <w:rFonts w:ascii="宋体"/>
          <w:sz w:val="24"/>
        </w:rPr>
      </w:pPr>
      <w:r>
        <w:rPr>
          <w:rFonts w:hint="eastAsia" w:ascii="宋体"/>
          <w:sz w:val="24"/>
        </w:rPr>
        <w:t>成立由相关处室负责人和相关专业教师组成的考核小组，负责材料审核、专业测试、综合面谈等系列考核工作。</w:t>
      </w:r>
    </w:p>
    <w:p>
      <w:pPr>
        <w:spacing w:line="400" w:lineRule="exact"/>
        <w:rPr>
          <w:rFonts w:ascii="宋体"/>
          <w:b/>
          <w:sz w:val="24"/>
        </w:rPr>
      </w:pPr>
      <w:r>
        <w:rPr>
          <w:rFonts w:hint="eastAsia" w:ascii="宋体"/>
          <w:b/>
          <w:sz w:val="24"/>
        </w:rPr>
        <w:t>二、招生计划</w:t>
      </w:r>
    </w:p>
    <w:p>
      <w:pPr>
        <w:spacing w:line="400" w:lineRule="exact"/>
        <w:ind w:firstLine="480" w:firstLineChars="200"/>
        <w:rPr>
          <w:rFonts w:ascii="宋体"/>
          <w:sz w:val="24"/>
        </w:rPr>
      </w:pPr>
      <w:r>
        <w:rPr>
          <w:rFonts w:hint="eastAsia" w:ascii="宋体"/>
          <w:sz w:val="24"/>
        </w:rPr>
        <w:t>按照2024年佛山市教育局规定，根据我校体育项目发展的需要，共计划招收20名（收田径、男子足球、男子篮球共三个项目）。如果考生的体育素质和比赛成绩特别突出，可根据考生比赛经历和我校测试成绩择优录取。</w:t>
      </w:r>
    </w:p>
    <w:tbl>
      <w:tblPr>
        <w:tblStyle w:val="14"/>
        <w:tblW w:w="4857" w:type="dxa"/>
        <w:tblInd w:w="26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9"/>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新宋体" w:hAnsi="新宋体" w:eastAsia="新宋体" w:cs="新宋体"/>
                <w:b/>
                <w:bCs/>
                <w:szCs w:val="21"/>
              </w:rPr>
            </w:pPr>
            <w:r>
              <w:rPr>
                <w:rFonts w:hint="eastAsia" w:ascii="新宋体" w:hAnsi="新宋体" w:eastAsia="新宋体" w:cs="新宋体"/>
                <w:b/>
                <w:bCs/>
                <w:szCs w:val="21"/>
              </w:rPr>
              <w:t>项    目</w:t>
            </w:r>
          </w:p>
        </w:tc>
        <w:tc>
          <w:tcPr>
            <w:tcW w:w="22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新宋体" w:hAnsi="新宋体" w:eastAsia="新宋体" w:cs="新宋体"/>
                <w:b/>
                <w:bCs/>
                <w:szCs w:val="21"/>
              </w:rPr>
            </w:pPr>
            <w:r>
              <w:rPr>
                <w:rFonts w:hint="eastAsia" w:ascii="新宋体" w:hAnsi="新宋体" w:eastAsia="新宋体" w:cs="新宋体"/>
                <w:b/>
                <w:bCs/>
                <w:szCs w:val="21"/>
              </w:rPr>
              <w:t>计划数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新宋体" w:hAnsi="新宋体" w:eastAsia="新宋体" w:cs="新宋体"/>
                <w:szCs w:val="21"/>
              </w:rPr>
            </w:pPr>
            <w:r>
              <w:rPr>
                <w:rFonts w:hint="eastAsia" w:ascii="新宋体" w:hAnsi="新宋体" w:eastAsia="新宋体" w:cs="新宋体"/>
                <w:szCs w:val="21"/>
              </w:rPr>
              <w:t>田径（男、女）</w:t>
            </w:r>
          </w:p>
        </w:tc>
        <w:tc>
          <w:tcPr>
            <w:tcW w:w="22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新宋体" w:hAnsi="新宋体" w:eastAsia="新宋体" w:cs="新宋体"/>
                <w:szCs w:val="21"/>
              </w:rPr>
            </w:pPr>
            <w:r>
              <w:rPr>
                <w:rFonts w:hint="eastAsia" w:ascii="新宋体" w:hAnsi="新宋体" w:eastAsia="新宋体" w:cs="新宋体"/>
                <w:szCs w:val="21"/>
              </w:rPr>
              <w:t>0-</w:t>
            </w:r>
            <w:r>
              <w:rPr>
                <w:rFonts w:ascii="新宋体" w:hAnsi="新宋体" w:eastAsia="新宋体" w:cs="新宋体"/>
                <w:szCs w:val="21"/>
              </w:rPr>
              <w:t>1</w:t>
            </w:r>
            <w:r>
              <w:rPr>
                <w:rFonts w:hint="eastAsia" w:ascii="新宋体" w:hAnsi="新宋体" w:eastAsia="新宋体" w:cs="新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新宋体" w:hAnsi="新宋体" w:eastAsia="新宋体" w:cs="新宋体"/>
                <w:szCs w:val="21"/>
              </w:rPr>
            </w:pPr>
            <w:r>
              <w:rPr>
                <w:rFonts w:hint="eastAsia" w:ascii="新宋体" w:hAnsi="新宋体" w:eastAsia="新宋体" w:cs="新宋体"/>
                <w:szCs w:val="21"/>
              </w:rPr>
              <w:t>足球（男）</w:t>
            </w:r>
          </w:p>
        </w:tc>
        <w:tc>
          <w:tcPr>
            <w:tcW w:w="22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新宋体" w:hAnsi="新宋体" w:eastAsia="新宋体" w:cs="新宋体"/>
                <w:szCs w:val="21"/>
              </w:rPr>
            </w:pPr>
            <w:r>
              <w:rPr>
                <w:rFonts w:hint="eastAsia" w:ascii="新宋体" w:hAnsi="新宋体" w:eastAsia="新宋体" w:cs="新宋体"/>
                <w:szCs w:val="21"/>
              </w:rPr>
              <w:t>0-</w:t>
            </w:r>
            <w:r>
              <w:rPr>
                <w:rFonts w:ascii="新宋体" w:hAnsi="新宋体" w:eastAsia="新宋体" w:cs="新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新宋体" w:hAnsi="新宋体" w:eastAsia="新宋体" w:cs="新宋体"/>
                <w:szCs w:val="21"/>
              </w:rPr>
            </w:pPr>
            <w:r>
              <w:rPr>
                <w:rFonts w:hint="eastAsia" w:ascii="新宋体" w:hAnsi="新宋体" w:eastAsia="新宋体" w:cs="新宋体"/>
                <w:szCs w:val="21"/>
              </w:rPr>
              <w:t>篮球（男）</w:t>
            </w:r>
          </w:p>
        </w:tc>
        <w:tc>
          <w:tcPr>
            <w:tcW w:w="22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新宋体" w:hAnsi="新宋体" w:eastAsia="新宋体" w:cs="新宋体"/>
                <w:szCs w:val="21"/>
              </w:rPr>
            </w:pPr>
            <w:r>
              <w:rPr>
                <w:rFonts w:hint="eastAsia" w:ascii="新宋体" w:hAnsi="新宋体" w:eastAsia="新宋体" w:cs="新宋体"/>
                <w:szCs w:val="21"/>
              </w:rPr>
              <w:t>0-3</w:t>
            </w:r>
          </w:p>
        </w:tc>
      </w:tr>
    </w:tbl>
    <w:p>
      <w:pPr>
        <w:spacing w:line="400" w:lineRule="exact"/>
        <w:ind w:firstLine="480" w:firstLineChars="200"/>
        <w:rPr>
          <w:rFonts w:ascii="宋体"/>
          <w:sz w:val="24"/>
        </w:rPr>
      </w:pPr>
      <w:r>
        <w:rPr>
          <w:rFonts w:hint="eastAsia" w:ascii="宋体"/>
          <w:sz w:val="24"/>
        </w:rPr>
        <w:t>注：如有项目的运动成绩达不到我校的要求，我校有权把多出的名额调配到符合人数多于计划数的项目，招生总人数不超20人。</w:t>
      </w:r>
    </w:p>
    <w:p>
      <w:pPr>
        <w:spacing w:line="400" w:lineRule="exact"/>
        <w:rPr>
          <w:rFonts w:ascii="宋体"/>
          <w:b/>
          <w:sz w:val="24"/>
        </w:rPr>
      </w:pPr>
      <w:r>
        <w:rPr>
          <w:rFonts w:hint="eastAsia" w:ascii="宋体"/>
          <w:b/>
          <w:sz w:val="24"/>
        </w:rPr>
        <w:t>三、报考条件</w:t>
      </w:r>
    </w:p>
    <w:p>
      <w:pPr>
        <w:spacing w:line="400" w:lineRule="exact"/>
        <w:ind w:firstLine="480" w:firstLineChars="200"/>
        <w:rPr>
          <w:rFonts w:ascii="宋体"/>
          <w:sz w:val="24"/>
        </w:rPr>
      </w:pPr>
      <w:r>
        <w:rPr>
          <w:rFonts w:hint="eastAsia" w:ascii="宋体"/>
          <w:sz w:val="24"/>
        </w:rPr>
        <w:t>考生必须具备以下条件者方可报名：</w:t>
      </w:r>
    </w:p>
    <w:p>
      <w:pPr>
        <w:spacing w:line="400" w:lineRule="exact"/>
        <w:ind w:firstLine="480" w:firstLineChars="200"/>
        <w:rPr>
          <w:rFonts w:ascii="宋体"/>
          <w:sz w:val="24"/>
        </w:rPr>
      </w:pPr>
      <w:r>
        <w:rPr>
          <w:rFonts w:hint="eastAsia" w:ascii="宋体"/>
          <w:sz w:val="24"/>
        </w:rPr>
        <w:t>1.</w:t>
      </w:r>
      <w:r>
        <w:rPr>
          <w:rFonts w:hint="eastAsia" w:ascii="宋体" w:hAnsi="宋体"/>
          <w:sz w:val="24"/>
        </w:rPr>
        <w:t xml:space="preserve"> 符合佛山市中考报考资格，且具有本市户籍或与本市户籍生享有同等报考资格的初中应届毕业生。</w:t>
      </w:r>
      <w:r>
        <w:rPr>
          <w:rFonts w:hint="eastAsia" w:ascii="宋体"/>
          <w:sz w:val="24"/>
        </w:rPr>
        <w:t>2008年9月1日后出生(特别优秀者可以适当放宽条件)。</w:t>
      </w:r>
    </w:p>
    <w:p>
      <w:pPr>
        <w:spacing w:line="400" w:lineRule="exact"/>
        <w:ind w:firstLine="480" w:firstLineChars="200"/>
        <w:rPr>
          <w:rFonts w:ascii="宋体"/>
          <w:sz w:val="24"/>
        </w:rPr>
      </w:pPr>
      <w:r>
        <w:rPr>
          <w:rFonts w:hint="eastAsia" w:ascii="宋体"/>
          <w:sz w:val="24"/>
        </w:rPr>
        <w:t>2.参加佛山市体育特长生考试并合格。</w:t>
      </w:r>
    </w:p>
    <w:p>
      <w:pPr>
        <w:spacing w:line="400" w:lineRule="exact"/>
        <w:ind w:firstLine="480" w:firstLineChars="200"/>
        <w:rPr>
          <w:rFonts w:ascii="宋体"/>
          <w:sz w:val="24"/>
        </w:rPr>
      </w:pPr>
      <w:r>
        <w:rPr>
          <w:rFonts w:hint="eastAsia" w:ascii="宋体"/>
          <w:sz w:val="24"/>
        </w:rPr>
        <w:t>3.综合评定</w:t>
      </w:r>
      <w:r>
        <w:rPr>
          <w:rFonts w:hint="eastAsia" w:ascii="宋体"/>
          <w:sz w:val="24"/>
          <w:lang w:val="en-US" w:eastAsia="zh-CN"/>
        </w:rPr>
        <w:t>B</w:t>
      </w:r>
      <w:r>
        <w:rPr>
          <w:rFonts w:hint="eastAsia" w:ascii="宋体"/>
          <w:sz w:val="24"/>
        </w:rPr>
        <w:t>等级或以上。</w:t>
      </w:r>
    </w:p>
    <w:p>
      <w:pPr>
        <w:spacing w:line="400" w:lineRule="exact"/>
        <w:ind w:firstLine="480" w:firstLineChars="200"/>
        <w:rPr>
          <w:rFonts w:ascii="宋体"/>
          <w:sz w:val="24"/>
        </w:rPr>
      </w:pPr>
      <w:r>
        <w:rPr>
          <w:rFonts w:hint="eastAsia" w:ascii="宋体"/>
          <w:sz w:val="24"/>
        </w:rPr>
        <w:t>4</w:t>
      </w:r>
      <w:r>
        <w:rPr>
          <w:rFonts w:ascii="宋体"/>
          <w:sz w:val="24"/>
        </w:rPr>
        <w:t>.</w:t>
      </w:r>
      <w:r>
        <w:rPr>
          <w:rFonts w:hint="eastAsia" w:ascii="宋体"/>
          <w:sz w:val="24"/>
        </w:rPr>
        <w:t>身体健康，具备体育特长，建议男生身高不低于1</w:t>
      </w:r>
      <w:r>
        <w:rPr>
          <w:rFonts w:ascii="宋体"/>
          <w:sz w:val="24"/>
        </w:rPr>
        <w:t>.7m</w:t>
      </w:r>
      <w:r>
        <w:rPr>
          <w:rFonts w:hint="eastAsia" w:ascii="宋体"/>
          <w:sz w:val="24"/>
        </w:rPr>
        <w:t>，女生不低于1.6m。请考生谨慎报考。</w:t>
      </w:r>
    </w:p>
    <w:p>
      <w:pPr>
        <w:spacing w:line="400" w:lineRule="exact"/>
        <w:rPr>
          <w:rFonts w:ascii="宋体"/>
          <w:b/>
          <w:sz w:val="24"/>
        </w:rPr>
      </w:pPr>
      <w:r>
        <w:rPr>
          <w:rFonts w:hint="eastAsia" w:ascii="宋体"/>
          <w:b/>
          <w:sz w:val="24"/>
        </w:rPr>
        <w:t>四、招生及录取办法</w:t>
      </w:r>
    </w:p>
    <w:p>
      <w:pPr>
        <w:spacing w:line="400" w:lineRule="exact"/>
        <w:ind w:firstLine="480" w:firstLineChars="200"/>
        <w:rPr>
          <w:rFonts w:ascii="宋体"/>
          <w:b/>
          <w:sz w:val="24"/>
        </w:rPr>
      </w:pPr>
      <w:r>
        <w:rPr>
          <w:rFonts w:hint="eastAsia" w:ascii="宋体"/>
          <w:sz w:val="24"/>
        </w:rPr>
        <w:t>（一）报名</w:t>
      </w:r>
    </w:p>
    <w:p>
      <w:pPr>
        <w:spacing w:line="400" w:lineRule="exact"/>
        <w:ind w:firstLine="480" w:firstLineChars="200"/>
        <w:rPr>
          <w:rFonts w:ascii="宋体"/>
          <w:sz w:val="24"/>
        </w:rPr>
      </w:pPr>
      <w:r>
        <w:rPr>
          <w:rFonts w:hint="eastAsia" w:ascii="宋体"/>
          <w:sz w:val="24"/>
        </w:rPr>
        <w:t>报名时间：符合报考我校体育特长生的学生,请登录</w:t>
      </w:r>
      <w:r>
        <w:rPr>
          <w:rFonts w:hint="eastAsia" w:ascii="宋体"/>
          <w:b/>
          <w:bCs/>
          <w:sz w:val="24"/>
        </w:rPr>
        <w:t>佛山市第二中学微信公众号</w:t>
      </w:r>
      <w:r>
        <w:rPr>
          <w:rFonts w:hint="eastAsia" w:ascii="宋体"/>
          <w:sz w:val="24"/>
        </w:rPr>
        <w:t xml:space="preserve">，推文内二维码进行报名表填写。 </w:t>
      </w:r>
    </w:p>
    <w:p>
      <w:pPr>
        <w:spacing w:line="400" w:lineRule="exact"/>
        <w:ind w:firstLine="480" w:firstLineChars="200"/>
        <w:rPr>
          <w:rFonts w:ascii="宋体"/>
          <w:sz w:val="24"/>
        </w:rPr>
      </w:pPr>
      <w:r>
        <w:rPr>
          <w:rFonts w:hint="eastAsia" w:ascii="宋体"/>
          <w:sz w:val="24"/>
        </w:rPr>
        <w:t>报名方法：考生从以上三个项目选择报考，不能重复报考或重复测试。</w:t>
      </w:r>
    </w:p>
    <w:p>
      <w:pPr>
        <w:ind w:firstLine="480" w:firstLineChars="200"/>
        <w:rPr>
          <w:rFonts w:ascii="宋体"/>
          <w:sz w:val="24"/>
        </w:rPr>
      </w:pPr>
      <w:r>
        <w:rPr>
          <w:rFonts w:hint="eastAsia" w:ascii="宋体"/>
          <w:b/>
          <w:sz w:val="24"/>
        </w:rPr>
        <w:t>二维码</w:t>
      </w:r>
      <w:r>
        <w:rPr>
          <w:rFonts w:hint="eastAsia" w:ascii="宋体"/>
          <w:sz w:val="24"/>
        </w:rPr>
        <w:t>：</w:t>
      </w:r>
    </w:p>
    <w:p>
      <w:pPr>
        <w:spacing w:line="400" w:lineRule="exact"/>
        <w:ind w:firstLine="480" w:firstLineChars="200"/>
        <w:rPr>
          <w:rFonts w:ascii="宋体"/>
          <w:sz w:val="24"/>
        </w:rPr>
      </w:pPr>
      <w:r>
        <w:rPr>
          <w:rFonts w:hint="eastAsia" w:ascii="宋体"/>
          <w:sz w:val="24"/>
        </w:rPr>
        <w:t>网址链接：</w:t>
      </w:r>
      <w:r>
        <w:fldChar w:fldCharType="begin"/>
      </w:r>
      <w:r>
        <w:instrText xml:space="preserve"> HYPERLINK "https://www.wjx.top/vm/hDKAeY5.aspx" </w:instrText>
      </w:r>
      <w:r>
        <w:fldChar w:fldCharType="separate"/>
      </w:r>
      <w:r>
        <w:rPr>
          <w:rStyle w:val="13"/>
          <w:rFonts w:ascii="宋体" w:hAnsi="宋体"/>
          <w:color w:val="auto"/>
          <w:sz w:val="24"/>
        </w:rPr>
        <w:t>https://www.wjx.top/vm/hDKAeY5.aspx#</w:t>
      </w:r>
      <w:r>
        <w:rPr>
          <w:rStyle w:val="13"/>
          <w:rFonts w:ascii="宋体" w:hAnsi="宋体"/>
          <w:color w:val="auto"/>
          <w:sz w:val="24"/>
        </w:rPr>
        <w:fldChar w:fldCharType="end"/>
      </w:r>
      <w:r>
        <w:rPr>
          <w:rFonts w:hint="eastAsia" w:ascii="宋体"/>
          <w:sz w:val="24"/>
        </w:rPr>
        <w:t xml:space="preserve">     </w:t>
      </w:r>
    </w:p>
    <w:p>
      <w:pPr>
        <w:spacing w:line="400" w:lineRule="exact"/>
        <w:ind w:firstLine="480" w:firstLineChars="200"/>
        <w:rPr>
          <w:rFonts w:ascii="宋体"/>
          <w:sz w:val="24"/>
        </w:rPr>
      </w:pPr>
      <w:r>
        <w:rPr>
          <w:rFonts w:hint="eastAsia" w:ascii="宋体"/>
          <w:sz w:val="24"/>
        </w:rPr>
        <w:t>报名截止时间</w:t>
      </w:r>
      <w:r>
        <w:rPr>
          <w:rFonts w:hint="eastAsia" w:ascii="宋体"/>
          <w:b/>
          <w:bCs/>
          <w:sz w:val="24"/>
        </w:rPr>
        <w:t>4月</w:t>
      </w:r>
      <w:r>
        <w:rPr>
          <w:rFonts w:hint="eastAsia" w:ascii="宋体"/>
          <w:b/>
          <w:bCs/>
          <w:sz w:val="24"/>
          <w:lang w:val="en-US" w:eastAsia="zh-CN"/>
        </w:rPr>
        <w:t>29</w:t>
      </w:r>
      <w:r>
        <w:rPr>
          <w:rFonts w:hint="eastAsia" w:ascii="宋体"/>
          <w:b/>
          <w:bCs/>
          <w:sz w:val="24"/>
        </w:rPr>
        <w:t>日</w:t>
      </w:r>
      <w:r>
        <w:rPr>
          <w:rFonts w:hint="eastAsia" w:ascii="宋体"/>
          <w:sz w:val="24"/>
        </w:rPr>
        <w:t>中午12：00， 如报名有任何疑问，请拨打电话：13929118951（黄老师）</w:t>
      </w:r>
    </w:p>
    <w:p>
      <w:pPr>
        <w:spacing w:line="400" w:lineRule="exact"/>
        <w:ind w:firstLine="480" w:firstLineChars="200"/>
        <w:rPr>
          <w:rFonts w:ascii="宋体"/>
          <w:sz w:val="24"/>
        </w:rPr>
      </w:pPr>
      <w:r>
        <w:rPr>
          <w:rFonts w:hint="eastAsia" w:ascii="宋体"/>
          <w:sz w:val="24"/>
        </w:rPr>
        <w:t>（二）术科测试时间及内容</w:t>
      </w:r>
    </w:p>
    <w:p>
      <w:pPr>
        <w:spacing w:line="400" w:lineRule="exact"/>
        <w:ind w:firstLine="480" w:firstLineChars="200"/>
        <w:rPr>
          <w:rFonts w:ascii="宋体" w:cs="宋体"/>
          <w:kern w:val="0"/>
          <w:sz w:val="24"/>
        </w:rPr>
      </w:pPr>
      <w:r>
        <w:rPr>
          <w:rFonts w:hint="eastAsia" w:ascii="宋体" w:cs="宋体"/>
          <w:kern w:val="0"/>
          <w:sz w:val="24"/>
        </w:rPr>
        <w:t>1.测试时间:</w:t>
      </w:r>
      <w:r>
        <w:rPr>
          <w:rFonts w:hint="eastAsia" w:ascii="宋体" w:cs="宋体"/>
          <w:b/>
          <w:bCs/>
          <w:kern w:val="0"/>
          <w:sz w:val="24"/>
          <w:lang w:val="en-US" w:eastAsia="zh-CN"/>
        </w:rPr>
        <w:t>4月30日</w:t>
      </w:r>
      <w:r>
        <w:rPr>
          <w:rFonts w:hint="eastAsia" w:ascii="宋体" w:cs="宋体"/>
          <w:kern w:val="0"/>
          <w:sz w:val="24"/>
          <w:lang w:val="en-US" w:eastAsia="zh-CN"/>
        </w:rPr>
        <w:t>上午8:30</w:t>
      </w:r>
      <w:r>
        <w:rPr>
          <w:rFonts w:hint="eastAsia" w:ascii="宋体" w:cs="宋体"/>
          <w:kern w:val="0"/>
          <w:sz w:val="24"/>
        </w:rPr>
        <w:t>，如果时间有变更, 另行通知。</w:t>
      </w:r>
    </w:p>
    <w:p>
      <w:pPr>
        <w:spacing w:line="400" w:lineRule="exact"/>
        <w:ind w:firstLine="480" w:firstLineChars="200"/>
        <w:rPr>
          <w:rFonts w:ascii="宋体" w:cs="宋体"/>
          <w:kern w:val="0"/>
          <w:sz w:val="24"/>
        </w:rPr>
      </w:pPr>
      <w:r>
        <w:rPr>
          <w:rFonts w:hint="eastAsia" w:ascii="宋体" w:cs="宋体"/>
          <w:kern w:val="0"/>
          <w:sz w:val="24"/>
        </w:rPr>
        <w:t>2.测试地点: 佛山市禅城区华远西路12号佛山市第二中学。</w:t>
      </w:r>
    </w:p>
    <w:p>
      <w:pPr>
        <w:spacing w:line="400" w:lineRule="exact"/>
        <w:ind w:firstLine="480" w:firstLineChars="200"/>
        <w:rPr>
          <w:rFonts w:ascii="宋体" w:cs="宋体"/>
          <w:kern w:val="0"/>
          <w:sz w:val="24"/>
        </w:rPr>
      </w:pPr>
      <w:r>
        <w:rPr>
          <w:rFonts w:hint="eastAsia" w:ascii="宋体" w:cs="宋体"/>
          <w:kern w:val="0"/>
          <w:sz w:val="24"/>
        </w:rPr>
        <w:t>3.测试项目：</w:t>
      </w:r>
    </w:p>
    <w:p>
      <w:pPr>
        <w:spacing w:line="400" w:lineRule="exact"/>
        <w:ind w:firstLine="480" w:firstLineChars="200"/>
        <w:rPr>
          <w:rFonts w:ascii="宋体" w:hAnsi="宋体" w:cs="宋体"/>
          <w:kern w:val="0"/>
          <w:sz w:val="24"/>
        </w:rPr>
      </w:pPr>
      <w:r>
        <w:rPr>
          <w:rFonts w:hint="eastAsia" w:ascii="宋体" w:cs="宋体"/>
          <w:kern w:val="0"/>
          <w:sz w:val="24"/>
        </w:rPr>
        <w:t>（1）报考田径、足球、篮球项目考生：总分＝（</w:t>
      </w:r>
      <w:r>
        <w:rPr>
          <w:rFonts w:hint="eastAsia" w:ascii="宋体" w:hAnsi="宋体" w:cs="宋体"/>
          <w:kern w:val="0"/>
          <w:sz w:val="24"/>
        </w:rPr>
        <w:t>100米跑＋立定三级跳远）</w:t>
      </w:r>
      <w:r>
        <w:rPr>
          <w:rFonts w:hint="eastAsia" w:ascii="Segoe UI Emoji" w:hAnsi="Segoe UI Emoji" w:cs="Segoe UI Emoji"/>
          <w:kern w:val="0"/>
          <w:sz w:val="24"/>
        </w:rPr>
        <w:t>➗1.5</w:t>
      </w:r>
      <w:r>
        <w:rPr>
          <w:rFonts w:hint="eastAsia" w:ascii="宋体"/>
          <w:sz w:val="24"/>
        </w:rPr>
        <w:t xml:space="preserve">× </w:t>
      </w:r>
      <w:r>
        <w:rPr>
          <w:rFonts w:hint="eastAsia" w:ascii="MS Mincho" w:hAnsi="MS Mincho" w:cs="MS Mincho" w:eastAsiaTheme="minorEastAsia"/>
          <w:kern w:val="0"/>
          <w:sz w:val="24"/>
        </w:rPr>
        <w:t>40%</w:t>
      </w:r>
      <w:r>
        <w:rPr>
          <w:rFonts w:hint="eastAsia" w:ascii="宋体" w:hAnsi="宋体" w:cs="宋体"/>
          <w:kern w:val="0"/>
          <w:sz w:val="24"/>
        </w:rPr>
        <w:t>＋专项</w:t>
      </w:r>
      <w:r>
        <w:rPr>
          <w:rFonts w:hint="eastAsia" w:ascii="宋体" w:hAnsi="宋体"/>
          <w:sz w:val="24"/>
        </w:rPr>
        <w:t>测试</w:t>
      </w:r>
      <w:r>
        <w:rPr>
          <w:rFonts w:hint="eastAsia" w:ascii="宋体"/>
          <w:sz w:val="24"/>
        </w:rPr>
        <w:t xml:space="preserve">× </w:t>
      </w:r>
      <w:r>
        <w:rPr>
          <w:rFonts w:hint="eastAsia" w:ascii="宋体" w:hAnsi="宋体" w:cs="宋体"/>
          <w:kern w:val="0"/>
          <w:sz w:val="24"/>
        </w:rPr>
        <w:t>60%，合成总分百分比换算后出现小数位进行四舍五入取</w:t>
      </w:r>
      <w:bookmarkStart w:id="0" w:name="_GoBack"/>
      <w:bookmarkEnd w:id="0"/>
      <w:r>
        <w:rPr>
          <w:rFonts w:hint="eastAsia" w:ascii="宋体" w:hAnsi="宋体" w:cs="宋体"/>
          <w:kern w:val="0"/>
          <w:sz w:val="24"/>
        </w:rPr>
        <w:t>整数。</w:t>
      </w:r>
    </w:p>
    <w:p>
      <w:pPr>
        <w:spacing w:line="400" w:lineRule="exact"/>
        <w:ind w:firstLine="480" w:firstLineChars="200"/>
        <w:rPr>
          <w:rFonts w:ascii="宋体"/>
          <w:sz w:val="24"/>
        </w:rPr>
      </w:pPr>
      <w:r>
        <w:rPr>
          <w:rFonts w:hint="eastAsia" w:ascii="宋体"/>
          <w:sz w:val="24"/>
        </w:rPr>
        <w:t>（三）考生文化成绩及录取办法</w:t>
      </w:r>
    </w:p>
    <w:p>
      <w:pPr>
        <w:spacing w:line="400" w:lineRule="exact"/>
        <w:ind w:firstLine="480" w:firstLineChars="200"/>
        <w:rPr>
          <w:rFonts w:ascii="宋体"/>
          <w:sz w:val="24"/>
        </w:rPr>
      </w:pPr>
      <w:r>
        <w:rPr>
          <w:rFonts w:hint="eastAsia" w:ascii="宋体"/>
          <w:sz w:val="24"/>
        </w:rPr>
        <w:t>体育特长生合成总分的构成，文化科成绩(含加分)占50%，术科测试占50%，计算公式为：合成总分=文化科成绩(满分7</w:t>
      </w:r>
      <w:r>
        <w:rPr>
          <w:rFonts w:ascii="宋体"/>
          <w:sz w:val="24"/>
        </w:rPr>
        <w:t>4</w:t>
      </w:r>
      <w:r>
        <w:rPr>
          <w:rFonts w:hint="eastAsia" w:ascii="宋体"/>
          <w:sz w:val="24"/>
        </w:rPr>
        <w:t>0分，含加分)×50% +术科测试(满分100分)×7.</w:t>
      </w:r>
      <w:r>
        <w:rPr>
          <w:rFonts w:ascii="宋体"/>
          <w:sz w:val="24"/>
        </w:rPr>
        <w:t>4</w:t>
      </w:r>
      <w:r>
        <w:rPr>
          <w:rFonts w:hint="eastAsia" w:ascii="宋体"/>
          <w:sz w:val="24"/>
        </w:rPr>
        <w:t>(专项测试换算成7</w:t>
      </w:r>
      <w:r>
        <w:rPr>
          <w:rFonts w:ascii="宋体"/>
          <w:sz w:val="24"/>
        </w:rPr>
        <w:t>4</w:t>
      </w:r>
      <w:r>
        <w:rPr>
          <w:rFonts w:hint="eastAsia" w:ascii="宋体"/>
          <w:sz w:val="24"/>
        </w:rPr>
        <w:t>0分系数)×50%。</w:t>
      </w:r>
      <w:r>
        <w:rPr>
          <w:rFonts w:hint="eastAsia" w:ascii="宋体" w:hAnsi="宋体"/>
          <w:sz w:val="24"/>
        </w:rPr>
        <w:t>在投档过程中，要求考生文化分达到佛山市第二中学的体育生最低控制分数线（</w:t>
      </w:r>
      <w:r>
        <w:rPr>
          <w:rFonts w:hint="eastAsia" w:ascii="宋体" w:hAnsi="宋体"/>
          <w:b/>
          <w:bCs/>
          <w:sz w:val="24"/>
        </w:rPr>
        <w:t>当年全市报考体育特长生的文化平均分×</w:t>
      </w:r>
      <w:r>
        <w:rPr>
          <w:rFonts w:ascii="宋体" w:hAnsi="宋体"/>
          <w:b/>
          <w:bCs/>
          <w:sz w:val="24"/>
        </w:rPr>
        <w:t>8</w:t>
      </w:r>
      <w:r>
        <w:rPr>
          <w:rFonts w:hint="eastAsia" w:ascii="宋体" w:hAnsi="宋体"/>
          <w:b/>
          <w:bCs/>
          <w:sz w:val="24"/>
        </w:rPr>
        <w:t>0</w:t>
      </w:r>
      <w:r>
        <w:rPr>
          <w:rFonts w:ascii="宋体" w:hAnsi="宋体"/>
          <w:b/>
          <w:bCs/>
          <w:sz w:val="24"/>
        </w:rPr>
        <w:t>%</w:t>
      </w:r>
      <w:r>
        <w:rPr>
          <w:rFonts w:hint="eastAsia" w:ascii="宋体" w:hAnsi="宋体"/>
          <w:sz w:val="24"/>
        </w:rPr>
        <w:t>），</w:t>
      </w:r>
      <w:r>
        <w:rPr>
          <w:rFonts w:hint="eastAsia" w:ascii="宋体"/>
          <w:sz w:val="24"/>
        </w:rPr>
        <w:t>再按考生志愿使用合成总分由高到低依次录取。</w:t>
      </w:r>
    </w:p>
    <w:p>
      <w:pPr>
        <w:spacing w:line="400" w:lineRule="exact"/>
        <w:ind w:firstLine="480" w:firstLineChars="200"/>
        <w:rPr>
          <w:rFonts w:ascii="宋体"/>
          <w:sz w:val="24"/>
        </w:rPr>
      </w:pPr>
      <w:r>
        <w:rPr>
          <w:rFonts w:hint="eastAsia" w:ascii="宋体"/>
          <w:sz w:val="24"/>
        </w:rPr>
        <w:t>（四）录取原则</w:t>
      </w:r>
    </w:p>
    <w:p>
      <w:pPr>
        <w:spacing w:line="400" w:lineRule="exact"/>
        <w:ind w:firstLine="480" w:firstLineChars="200"/>
        <w:rPr>
          <w:rFonts w:ascii="宋体"/>
          <w:sz w:val="24"/>
        </w:rPr>
      </w:pPr>
      <w:r>
        <w:rPr>
          <w:rFonts w:ascii="宋体"/>
          <w:sz w:val="24"/>
        </w:rPr>
        <w:t>1.</w:t>
      </w:r>
      <w:r>
        <w:rPr>
          <w:rFonts w:hint="eastAsia" w:ascii="宋体"/>
          <w:sz w:val="24"/>
        </w:rPr>
        <w:t>优秀考生界定：田径项目考生在初中阶段获得对应考试项目的国家二级运动员及以上等级证书或提供达到此运动等级的成绩证书，在校表现优异：集体项目考生在初中阶段参加包括区、市级以上比赛获得名次靠前者，佛山市统招考试专项满分者，且根据学校队伍需要位置补充，成绩优秀者（足球：守门员、中场、前锋；篮球：控卫、大前锋、中锋）。对应项目满足以上条件的考生，则能够以学校体育特长生招生方案要求的最低文化分予以录取。</w:t>
      </w:r>
    </w:p>
    <w:p>
      <w:pPr>
        <w:spacing w:line="400" w:lineRule="exact"/>
        <w:ind w:firstLine="480" w:firstLineChars="200"/>
        <w:rPr>
          <w:rFonts w:ascii="宋体"/>
          <w:sz w:val="24"/>
        </w:rPr>
      </w:pPr>
      <w:r>
        <w:rPr>
          <w:rFonts w:ascii="宋体"/>
          <w:sz w:val="24"/>
        </w:rPr>
        <w:t>2.</w:t>
      </w:r>
      <w:r>
        <w:rPr>
          <w:rFonts w:hint="eastAsia" w:ascii="宋体"/>
          <w:sz w:val="24"/>
        </w:rPr>
        <w:t>如招生学校计划末位两位考生合成总分相同，则采用“同分比较原则”找出优先者：合成总分相同，则文化分高的同学优先录取。</w:t>
      </w:r>
    </w:p>
    <w:p>
      <w:pPr>
        <w:spacing w:line="400" w:lineRule="exact"/>
        <w:ind w:firstLine="480" w:firstLineChars="200"/>
        <w:rPr>
          <w:rFonts w:ascii="宋体"/>
          <w:sz w:val="24"/>
        </w:rPr>
      </w:pPr>
    </w:p>
    <w:p>
      <w:pPr>
        <w:spacing w:line="400" w:lineRule="exact"/>
        <w:ind w:firstLine="480" w:firstLineChars="200"/>
        <w:rPr>
          <w:rFonts w:ascii="宋体"/>
          <w:sz w:val="24"/>
        </w:rPr>
      </w:pPr>
      <w:r>
        <w:rPr>
          <w:rFonts w:hint="eastAsia" w:ascii="宋体"/>
          <w:sz w:val="24"/>
        </w:rPr>
        <w:t>（五）招生录取程序</w:t>
      </w:r>
    </w:p>
    <w:p>
      <w:pPr>
        <w:spacing w:line="400" w:lineRule="exact"/>
        <w:ind w:firstLine="480" w:firstLineChars="200"/>
        <w:rPr>
          <w:rFonts w:ascii="宋体"/>
          <w:sz w:val="24"/>
        </w:rPr>
      </w:pPr>
      <w:r>
        <w:rPr>
          <w:rFonts w:hint="eastAsia" w:ascii="宋体"/>
          <w:sz w:val="24"/>
        </w:rPr>
        <w:t>1.学校招收体育特长生领导小组对参加体育测试的考生进行审核，确定上报佛山市教育局拟录取名单,并将拟录取名单在我校网站公示。</w:t>
      </w:r>
    </w:p>
    <w:p>
      <w:pPr>
        <w:spacing w:line="400" w:lineRule="exact"/>
        <w:ind w:firstLine="480" w:firstLineChars="200"/>
        <w:rPr>
          <w:rFonts w:ascii="宋体"/>
          <w:sz w:val="24"/>
        </w:rPr>
      </w:pPr>
      <w:r>
        <w:rPr>
          <w:rFonts w:hint="eastAsia" w:ascii="宋体"/>
          <w:sz w:val="24"/>
        </w:rPr>
        <w:t>2.拟录取考生须按学校中考填报志愿指南填报志愿，考生自愿签写《诚信承诺书》和《体育特长生管理条例》，否则视为放弃入围资格。</w:t>
      </w:r>
    </w:p>
    <w:p>
      <w:pPr>
        <w:spacing w:line="400" w:lineRule="exact"/>
        <w:ind w:firstLine="480" w:firstLineChars="200"/>
        <w:rPr>
          <w:rFonts w:ascii="宋体"/>
          <w:sz w:val="24"/>
        </w:rPr>
      </w:pPr>
      <w:r>
        <w:rPr>
          <w:rFonts w:hint="eastAsia" w:ascii="宋体"/>
          <w:sz w:val="24"/>
        </w:rPr>
        <w:t>3.拟录取考生必须参加升高中统一文化考试，建议以第一志愿填报我校以增加录取的机率。</w:t>
      </w:r>
    </w:p>
    <w:p>
      <w:pPr>
        <w:spacing w:line="400" w:lineRule="exact"/>
        <w:ind w:firstLine="480" w:firstLineChars="200"/>
        <w:rPr>
          <w:rFonts w:ascii="宋体"/>
          <w:sz w:val="24"/>
        </w:rPr>
      </w:pPr>
      <w:r>
        <w:rPr>
          <w:rFonts w:hint="eastAsia" w:ascii="宋体"/>
          <w:sz w:val="24"/>
        </w:rPr>
        <w:t>4.拟录取考生公示无异议，且中考成绩达到录取要求者，由市招生办根据佛山市第二中学需求择优录取</w:t>
      </w:r>
      <w:r>
        <w:rPr>
          <w:rFonts w:ascii="宋体"/>
          <w:sz w:val="24"/>
        </w:rPr>
        <w:t>2</w:t>
      </w:r>
      <w:r>
        <w:rPr>
          <w:rFonts w:hint="eastAsia" w:ascii="宋体"/>
          <w:sz w:val="24"/>
        </w:rPr>
        <w:t>0人。公示发现有弄虚作假行为者取消其录取资格。</w:t>
      </w:r>
    </w:p>
    <w:p>
      <w:pPr>
        <w:spacing w:line="400" w:lineRule="exact"/>
        <w:ind w:firstLine="480" w:firstLineChars="200"/>
        <w:rPr>
          <w:rFonts w:ascii="宋体"/>
          <w:sz w:val="24"/>
        </w:rPr>
      </w:pPr>
      <w:r>
        <w:rPr>
          <w:rFonts w:hint="eastAsia" w:ascii="宋体"/>
          <w:sz w:val="24"/>
        </w:rPr>
        <w:t>（六）保障措施</w:t>
      </w:r>
    </w:p>
    <w:p>
      <w:pPr>
        <w:spacing w:line="400" w:lineRule="exact"/>
        <w:ind w:firstLine="480" w:firstLineChars="200"/>
        <w:rPr>
          <w:rFonts w:ascii="宋体"/>
          <w:sz w:val="24"/>
        </w:rPr>
      </w:pPr>
      <w:r>
        <w:rPr>
          <w:rFonts w:hint="eastAsia" w:ascii="宋体"/>
          <w:sz w:val="24"/>
        </w:rPr>
        <w:t>1.我校体育特长生的招生工作，严格按照既定条件和程序进行，接受社会各界监督。</w:t>
      </w:r>
    </w:p>
    <w:p>
      <w:pPr>
        <w:spacing w:line="400" w:lineRule="exact"/>
        <w:ind w:firstLine="480" w:firstLineChars="200"/>
        <w:rPr>
          <w:rFonts w:ascii="宋体"/>
          <w:sz w:val="24"/>
        </w:rPr>
      </w:pPr>
      <w:r>
        <w:rPr>
          <w:rFonts w:hint="eastAsia" w:ascii="宋体"/>
          <w:sz w:val="24"/>
        </w:rPr>
        <w:t>2.对弄虚作假的学生，一经查实，取消资格。</w:t>
      </w:r>
    </w:p>
    <w:p>
      <w:pPr>
        <w:spacing w:line="400" w:lineRule="exact"/>
        <w:ind w:firstLine="480" w:firstLineChars="200"/>
        <w:rPr>
          <w:rFonts w:ascii="新宋体" w:hAnsi="新宋体" w:eastAsia="新宋体" w:cs="新宋体"/>
          <w:sz w:val="24"/>
        </w:rPr>
      </w:pPr>
      <w:r>
        <w:rPr>
          <w:rFonts w:hint="eastAsia" w:ascii="宋体"/>
          <w:sz w:val="24"/>
        </w:rPr>
        <w:t>3.</w:t>
      </w:r>
      <w:r>
        <w:rPr>
          <w:rFonts w:hint="eastAsia" w:ascii="新宋体" w:hAnsi="新宋体" w:eastAsia="新宋体" w:cs="新宋体"/>
          <w:sz w:val="24"/>
        </w:rPr>
        <w:t>被我校录取的体育特长生在校学习期间，必须遵守学校的有关规定，服从安排，参加学校组织的有关体育训练和比赛活动，承担个人应尽的义务。学生无故不参加运动队正常训练视为旷课，将按照学校学籍管理规定进行处理。</w:t>
      </w:r>
    </w:p>
    <w:p>
      <w:pPr>
        <w:spacing w:line="400" w:lineRule="exact"/>
        <w:ind w:firstLine="480" w:firstLineChars="200"/>
        <w:rPr>
          <w:rFonts w:ascii="宋体"/>
          <w:sz w:val="24"/>
        </w:rPr>
      </w:pPr>
      <w:r>
        <w:rPr>
          <w:rFonts w:hint="eastAsia" w:ascii="宋体"/>
          <w:sz w:val="24"/>
        </w:rPr>
        <w:t>4.学校发现参与特长生招生的工作人员在招生工作中存在弄虚作假行为，一经查实将追究其责任。</w:t>
      </w:r>
    </w:p>
    <w:p>
      <w:pPr>
        <w:spacing w:line="400" w:lineRule="exact"/>
        <w:ind w:firstLine="480" w:firstLineChars="200"/>
        <w:rPr>
          <w:rFonts w:ascii="宋体"/>
          <w:sz w:val="24"/>
        </w:rPr>
      </w:pPr>
      <w:r>
        <w:rPr>
          <w:rFonts w:hint="eastAsia" w:ascii="宋体"/>
          <w:sz w:val="24"/>
        </w:rPr>
        <w:t>（七）收费</w:t>
      </w:r>
    </w:p>
    <w:p>
      <w:pPr>
        <w:spacing w:line="400" w:lineRule="exact"/>
        <w:ind w:firstLine="480" w:firstLineChars="200"/>
        <w:rPr>
          <w:rFonts w:ascii="宋体"/>
          <w:sz w:val="24"/>
        </w:rPr>
      </w:pPr>
      <w:r>
        <w:rPr>
          <w:rFonts w:hint="eastAsia" w:ascii="宋体"/>
          <w:sz w:val="24"/>
        </w:rPr>
        <w:t>按佛山市教育局、佛山市物价局、佛山市财政局核定公办重点高中普通生收费。</w:t>
      </w:r>
    </w:p>
    <w:p>
      <w:pPr>
        <w:spacing w:line="400" w:lineRule="exact"/>
        <w:ind w:firstLine="480" w:firstLineChars="200"/>
        <w:rPr>
          <w:rFonts w:ascii="宋体" w:cs="仿宋_GB2312"/>
          <w:sz w:val="24"/>
        </w:rPr>
      </w:pPr>
      <w:r>
        <w:rPr>
          <w:rFonts w:hint="eastAsia" w:ascii="宋体" w:cs="仿宋_GB2312"/>
          <w:sz w:val="24"/>
        </w:rPr>
        <w:t xml:space="preserve">（八）未尽事宜解释权归佛山市第二中学招收体育特长生领导小组。  </w:t>
      </w:r>
    </w:p>
    <w:p>
      <w:pPr>
        <w:spacing w:line="400" w:lineRule="exact"/>
        <w:rPr>
          <w:rFonts w:ascii="宋体" w:cs="仿宋_GB2312"/>
          <w:sz w:val="24"/>
        </w:rPr>
      </w:pPr>
      <w:r>
        <w:rPr>
          <w:rFonts w:hint="eastAsia" w:ascii="宋体" w:cs="仿宋_GB2312"/>
          <w:sz w:val="24"/>
        </w:rPr>
        <w:t xml:space="preserve">                                        </w:t>
      </w:r>
    </w:p>
    <w:p>
      <w:pPr>
        <w:spacing w:line="400" w:lineRule="exact"/>
        <w:ind w:firstLine="120" w:firstLineChars="50"/>
        <w:rPr>
          <w:rFonts w:ascii="宋体" w:cs="仿宋_GB2312"/>
          <w:sz w:val="24"/>
        </w:rPr>
      </w:pPr>
    </w:p>
    <w:p>
      <w:pPr>
        <w:spacing w:line="400" w:lineRule="exact"/>
        <w:ind w:firstLine="7680" w:firstLineChars="3200"/>
        <w:rPr>
          <w:rFonts w:ascii="宋体" w:cs="仿宋_GB2312"/>
          <w:sz w:val="24"/>
        </w:rPr>
      </w:pPr>
      <w:r>
        <w:rPr>
          <w:rFonts w:hint="eastAsia" w:ascii="宋体" w:cs="仿宋_GB2312"/>
          <w:sz w:val="24"/>
        </w:rPr>
        <w:t>佛山市第二中学</w:t>
      </w:r>
    </w:p>
    <w:p>
      <w:pPr>
        <w:spacing w:line="400" w:lineRule="exact"/>
        <w:ind w:firstLine="7680" w:firstLineChars="3200"/>
        <w:rPr>
          <w:rFonts w:ascii="宋体" w:cs="仿宋_GB2312"/>
          <w:sz w:val="24"/>
        </w:rPr>
      </w:pPr>
      <w:r>
        <w:rPr>
          <w:rFonts w:hint="eastAsia" w:ascii="宋体" w:cs="仿宋_GB2312"/>
          <w:sz w:val="24"/>
        </w:rPr>
        <w:t>2024年3月20日</w:t>
      </w:r>
    </w:p>
    <w:p>
      <w:pPr>
        <w:spacing w:line="300" w:lineRule="exact"/>
        <w:rPr>
          <w:rFonts w:ascii="宋体" w:cs="仿宋_GB2312"/>
          <w:sz w:val="28"/>
          <w:szCs w:val="32"/>
        </w:rPr>
      </w:pPr>
      <w:r>
        <w:rPr>
          <w:rFonts w:hint="eastAsia" w:ascii="宋体" w:cs="仿宋_GB2312"/>
          <w:sz w:val="28"/>
          <w:szCs w:val="32"/>
        </w:rPr>
        <w:t xml:space="preserve">    </w:t>
      </w: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ind w:firstLine="280" w:firstLineChars="100"/>
        <w:rPr>
          <w:rFonts w:ascii="宋体" w:cs="宋体"/>
          <w:b/>
          <w:sz w:val="28"/>
          <w:szCs w:val="28"/>
        </w:rPr>
      </w:pPr>
    </w:p>
    <w:p>
      <w:pPr>
        <w:snapToGrid w:val="0"/>
        <w:spacing w:line="510" w:lineRule="exact"/>
        <w:ind w:firstLine="480" w:firstLineChars="200"/>
        <w:rPr>
          <w:rFonts w:ascii="宋体"/>
          <w:sz w:val="24"/>
        </w:rPr>
      </w:pPr>
      <w:r>
        <w:rPr>
          <w:rFonts w:hint="eastAsia" w:ascii="宋体"/>
          <w:sz w:val="24"/>
        </w:rPr>
        <w:t>附件一：（一）评分标准</w:t>
      </w:r>
    </w:p>
    <w:p>
      <w:pPr>
        <w:snapToGrid w:val="0"/>
        <w:spacing w:line="510" w:lineRule="exact"/>
        <w:ind w:firstLine="480" w:firstLineChars="200"/>
        <w:rPr>
          <w:rFonts w:ascii="宋体" w:hAnsi="宋体" w:eastAsia="仿宋" w:cs="宋体"/>
          <w:kern w:val="0"/>
        </w:rPr>
      </w:pPr>
      <w:r>
        <w:rPr>
          <w:rFonts w:hint="eastAsia" w:ascii="宋体"/>
          <w:sz w:val="24"/>
        </w:rPr>
        <w:t>100米跑评分标准详见“男子100米跑考试评分标准”和“女子100米跑考试评分标准”</w:t>
      </w:r>
      <w:r>
        <w:rPr>
          <w:rFonts w:hint="eastAsia" w:ascii="宋体" w:hAnsi="宋体" w:eastAsia="仿宋" w:cs="宋体"/>
          <w:kern w:val="0"/>
        </w:rPr>
        <w:t>。</w:t>
      </w:r>
    </w:p>
    <w:p>
      <w:pPr>
        <w:snapToGrid w:val="0"/>
        <w:spacing w:line="510" w:lineRule="exact"/>
        <w:ind w:firstLine="480" w:firstLineChars="200"/>
        <w:rPr>
          <w:rFonts w:ascii="宋体"/>
          <w:sz w:val="24"/>
        </w:rPr>
      </w:pPr>
      <w:r>
        <w:rPr>
          <w:rFonts w:hint="eastAsia" w:ascii="宋体"/>
          <w:sz w:val="24"/>
        </w:rPr>
        <w:t xml:space="preserve">  男子100米跑考试评分标准</w:t>
      </w:r>
    </w:p>
    <w:tbl>
      <w:tblPr>
        <w:tblStyle w:val="14"/>
        <w:tblW w:w="88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8"/>
        <w:gridCol w:w="1468"/>
        <w:gridCol w:w="1468"/>
        <w:gridCol w:w="1468"/>
        <w:gridCol w:w="1468"/>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exact"/>
          <w:jc w:val="center"/>
        </w:trPr>
        <w:tc>
          <w:tcPr>
            <w:tcW w:w="1468" w:type="dxa"/>
            <w:tcBorders>
              <w:top w:val="single" w:color="auto" w:sz="12" w:space="0"/>
              <w:left w:val="single" w:color="auto" w:sz="12" w:space="0"/>
              <w:bottom w:val="single" w:color="auto" w:sz="12" w:space="0"/>
            </w:tcBorders>
            <w:vAlign w:val="center"/>
          </w:tcPr>
          <w:p>
            <w:pPr>
              <w:widowControl/>
              <w:spacing w:line="280" w:lineRule="exact"/>
              <w:jc w:val="center"/>
              <w:rPr>
                <w:rFonts w:ascii="宋体"/>
                <w:sz w:val="24"/>
              </w:rPr>
            </w:pPr>
            <w:r>
              <w:rPr>
                <w:rFonts w:hint="eastAsia" w:ascii="宋体"/>
                <w:sz w:val="24"/>
              </w:rPr>
              <w:t>分值</w:t>
            </w:r>
          </w:p>
        </w:tc>
        <w:tc>
          <w:tcPr>
            <w:tcW w:w="1468" w:type="dxa"/>
            <w:tcBorders>
              <w:top w:val="single" w:color="auto" w:sz="12" w:space="0"/>
              <w:bottom w:val="single" w:color="auto" w:sz="12" w:space="0"/>
              <w:right w:val="double" w:color="auto" w:sz="6" w:space="0"/>
            </w:tcBorders>
            <w:vAlign w:val="center"/>
          </w:tcPr>
          <w:p>
            <w:pPr>
              <w:widowControl/>
              <w:spacing w:line="280" w:lineRule="exact"/>
              <w:jc w:val="center"/>
              <w:rPr>
                <w:rFonts w:ascii="宋体"/>
                <w:sz w:val="24"/>
              </w:rPr>
            </w:pPr>
            <w:r>
              <w:rPr>
                <w:rFonts w:hint="eastAsia" w:ascii="宋体"/>
                <w:sz w:val="24"/>
              </w:rPr>
              <w:t>成绩（秒）</w:t>
            </w:r>
          </w:p>
        </w:tc>
        <w:tc>
          <w:tcPr>
            <w:tcW w:w="1468" w:type="dxa"/>
            <w:tcBorders>
              <w:top w:val="single" w:color="auto" w:sz="12" w:space="0"/>
              <w:left w:val="double" w:color="auto" w:sz="6" w:space="0"/>
              <w:bottom w:val="single" w:color="auto" w:sz="12" w:space="0"/>
            </w:tcBorders>
            <w:vAlign w:val="center"/>
          </w:tcPr>
          <w:p>
            <w:pPr>
              <w:widowControl/>
              <w:spacing w:line="280" w:lineRule="exact"/>
              <w:jc w:val="center"/>
              <w:rPr>
                <w:rFonts w:ascii="宋体"/>
                <w:sz w:val="24"/>
              </w:rPr>
            </w:pPr>
            <w:r>
              <w:rPr>
                <w:rFonts w:hint="eastAsia" w:ascii="宋体"/>
                <w:sz w:val="24"/>
              </w:rPr>
              <w:t>分值</w:t>
            </w:r>
          </w:p>
        </w:tc>
        <w:tc>
          <w:tcPr>
            <w:tcW w:w="1468" w:type="dxa"/>
            <w:tcBorders>
              <w:top w:val="single" w:color="auto" w:sz="12" w:space="0"/>
              <w:bottom w:val="single" w:color="auto" w:sz="12" w:space="0"/>
              <w:right w:val="double" w:color="auto" w:sz="6" w:space="0"/>
            </w:tcBorders>
            <w:vAlign w:val="center"/>
          </w:tcPr>
          <w:p>
            <w:pPr>
              <w:widowControl/>
              <w:spacing w:line="280" w:lineRule="exact"/>
              <w:jc w:val="center"/>
              <w:rPr>
                <w:rFonts w:ascii="宋体"/>
                <w:sz w:val="24"/>
              </w:rPr>
            </w:pPr>
            <w:r>
              <w:rPr>
                <w:rFonts w:hint="eastAsia" w:ascii="宋体"/>
                <w:sz w:val="24"/>
              </w:rPr>
              <w:t>成绩（秒）</w:t>
            </w:r>
          </w:p>
        </w:tc>
        <w:tc>
          <w:tcPr>
            <w:tcW w:w="1468" w:type="dxa"/>
            <w:tcBorders>
              <w:top w:val="single" w:color="auto" w:sz="12" w:space="0"/>
              <w:left w:val="double" w:color="auto" w:sz="6" w:space="0"/>
              <w:bottom w:val="single" w:color="auto" w:sz="12" w:space="0"/>
            </w:tcBorders>
            <w:vAlign w:val="center"/>
          </w:tcPr>
          <w:p>
            <w:pPr>
              <w:widowControl/>
              <w:spacing w:line="280" w:lineRule="exact"/>
              <w:jc w:val="center"/>
              <w:rPr>
                <w:rFonts w:ascii="宋体"/>
                <w:sz w:val="24"/>
              </w:rPr>
            </w:pPr>
            <w:r>
              <w:rPr>
                <w:rFonts w:hint="eastAsia" w:ascii="宋体"/>
                <w:sz w:val="24"/>
              </w:rPr>
              <w:t>分值</w:t>
            </w:r>
          </w:p>
        </w:tc>
        <w:tc>
          <w:tcPr>
            <w:tcW w:w="1468" w:type="dxa"/>
            <w:tcBorders>
              <w:top w:val="single" w:color="auto" w:sz="12" w:space="0"/>
              <w:bottom w:val="single" w:color="auto" w:sz="12" w:space="0"/>
              <w:right w:val="single" w:color="auto" w:sz="12" w:space="0"/>
            </w:tcBorders>
            <w:vAlign w:val="center"/>
          </w:tcPr>
          <w:p>
            <w:pPr>
              <w:widowControl/>
              <w:spacing w:line="280" w:lineRule="exact"/>
              <w:jc w:val="center"/>
              <w:rPr>
                <w:rFonts w:ascii="宋体"/>
                <w:sz w:val="24"/>
              </w:rPr>
            </w:pPr>
            <w:r>
              <w:rPr>
                <w:rFonts w:hint="eastAsia" w:ascii="宋体"/>
                <w:sz w:val="24"/>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top w:val="single" w:color="auto" w:sz="12" w:space="0"/>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75</w:t>
            </w:r>
          </w:p>
        </w:tc>
        <w:tc>
          <w:tcPr>
            <w:tcW w:w="1468" w:type="dxa"/>
            <w:tcBorders>
              <w:top w:val="single" w:color="auto" w:sz="12" w:space="0"/>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11.48</w:t>
            </w:r>
          </w:p>
        </w:tc>
        <w:tc>
          <w:tcPr>
            <w:tcW w:w="1468" w:type="dxa"/>
            <w:tcBorders>
              <w:top w:val="single" w:color="auto" w:sz="12" w:space="0"/>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50</w:t>
            </w:r>
          </w:p>
        </w:tc>
        <w:tc>
          <w:tcPr>
            <w:tcW w:w="1468" w:type="dxa"/>
            <w:tcBorders>
              <w:top w:val="single" w:color="auto" w:sz="12" w:space="0"/>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12.22</w:t>
            </w:r>
          </w:p>
        </w:tc>
        <w:tc>
          <w:tcPr>
            <w:tcW w:w="1468" w:type="dxa"/>
            <w:tcBorders>
              <w:top w:val="single" w:color="auto" w:sz="12" w:space="0"/>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25</w:t>
            </w:r>
          </w:p>
        </w:tc>
        <w:tc>
          <w:tcPr>
            <w:tcW w:w="1468" w:type="dxa"/>
            <w:tcBorders>
              <w:top w:val="single" w:color="auto" w:sz="12" w:space="0"/>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74</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11.52</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49</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12.25</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24</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73</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11.56</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48</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12.28</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23</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72</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11.60</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47</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12.31</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22</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71</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11.64</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46</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12.35</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21</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70</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11.68</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45</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12.39</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20</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69</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11.72</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44</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12.43</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19</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68</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11.76</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43</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12.47</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18</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67</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11.80</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42</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12.52</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17</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66</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11.84</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41</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12.57</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16</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65</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11.88</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40</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12.62</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15</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64</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11.91</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39</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12.68</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14</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63</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11.94</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38</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12.75</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62</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11.97</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37</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12.82</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61</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12.00</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36</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12.90</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11</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60</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12.02</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35</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12.98</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10</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59</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12.04</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34</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13.06</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9</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58</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12.06</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33</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13.15</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8</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57</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12.08</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32</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13.24</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7</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56</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12.10</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31</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13.33</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6</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55</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12.12</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30</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13.42</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5</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54</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12.14</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29</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13.51</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4</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53</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12.16</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28</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13.60</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3</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52</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12.18</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27</w:t>
            </w:r>
          </w:p>
        </w:tc>
        <w:tc>
          <w:tcPr>
            <w:tcW w:w="1468" w:type="dxa"/>
            <w:tcBorders>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13.69</w:t>
            </w:r>
          </w:p>
        </w:tc>
        <w:tc>
          <w:tcPr>
            <w:tcW w:w="1468" w:type="dxa"/>
            <w:tcBorders>
              <w:lef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2</w:t>
            </w:r>
          </w:p>
        </w:tc>
        <w:tc>
          <w:tcPr>
            <w:tcW w:w="1468" w:type="dxa"/>
            <w:tcBorders>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exact"/>
          <w:jc w:val="center"/>
        </w:trPr>
        <w:tc>
          <w:tcPr>
            <w:tcW w:w="1468" w:type="dxa"/>
            <w:tcBorders>
              <w:left w:val="single" w:color="auto" w:sz="12" w:space="0"/>
              <w:bottom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51</w:t>
            </w:r>
          </w:p>
        </w:tc>
        <w:tc>
          <w:tcPr>
            <w:tcW w:w="1468" w:type="dxa"/>
            <w:tcBorders>
              <w:bottom w:val="single" w:color="auto" w:sz="12" w:space="0"/>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12.20</w:t>
            </w:r>
          </w:p>
        </w:tc>
        <w:tc>
          <w:tcPr>
            <w:tcW w:w="1468" w:type="dxa"/>
            <w:tcBorders>
              <w:left w:val="double" w:color="auto" w:sz="6" w:space="0"/>
              <w:bottom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26</w:t>
            </w:r>
          </w:p>
        </w:tc>
        <w:tc>
          <w:tcPr>
            <w:tcW w:w="1468" w:type="dxa"/>
            <w:tcBorders>
              <w:bottom w:val="single" w:color="auto" w:sz="12" w:space="0"/>
              <w:right w:val="double" w:color="auto" w:sz="6"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13.78</w:t>
            </w:r>
          </w:p>
        </w:tc>
        <w:tc>
          <w:tcPr>
            <w:tcW w:w="1468" w:type="dxa"/>
            <w:tcBorders>
              <w:left w:val="double" w:color="auto" w:sz="6" w:space="0"/>
              <w:bottom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w:t>
            </w:r>
          </w:p>
        </w:tc>
        <w:tc>
          <w:tcPr>
            <w:tcW w:w="1468" w:type="dxa"/>
            <w:tcBorders>
              <w:bottom w:val="single" w:color="auto" w:sz="12" w:space="0"/>
              <w:right w:val="single" w:color="auto" w:sz="12" w:space="0"/>
            </w:tcBorders>
            <w:vAlign w:val="center"/>
          </w:tcPr>
          <w:p>
            <w:pPr>
              <w:widowControl/>
              <w:spacing w:line="280" w:lineRule="exact"/>
              <w:jc w:val="center"/>
              <w:rPr>
                <w:rFonts w:ascii="宋体" w:hAnsi="宋体" w:cs="宋体"/>
                <w:kern w:val="0"/>
                <w:sz w:val="28"/>
                <w:szCs w:val="28"/>
              </w:rPr>
            </w:pPr>
            <w:r>
              <w:rPr>
                <w:rFonts w:hint="eastAsia" w:ascii="宋体" w:hAnsi="宋体" w:cs="宋体"/>
                <w:kern w:val="0"/>
                <w:sz w:val="28"/>
                <w:szCs w:val="28"/>
              </w:rPr>
              <w:t>16.65</w:t>
            </w:r>
          </w:p>
        </w:tc>
      </w:tr>
    </w:tbl>
    <w:p>
      <w:pPr>
        <w:widowControl/>
        <w:tabs>
          <w:tab w:val="left" w:pos="5445"/>
        </w:tabs>
        <w:snapToGrid w:val="0"/>
        <w:ind w:firstLine="420" w:firstLineChars="200"/>
        <w:jc w:val="left"/>
        <w:rPr>
          <w:rFonts w:ascii="宋体" w:hAnsi="宋体" w:cs="宋体"/>
          <w:bCs/>
          <w:kern w:val="0"/>
        </w:rPr>
      </w:pPr>
    </w:p>
    <w:p>
      <w:pPr>
        <w:widowControl/>
        <w:tabs>
          <w:tab w:val="left" w:pos="5445"/>
        </w:tabs>
        <w:snapToGrid w:val="0"/>
        <w:ind w:firstLine="420" w:firstLineChars="200"/>
        <w:jc w:val="left"/>
        <w:rPr>
          <w:rFonts w:ascii="宋体" w:hAnsi="宋体" w:cs="宋体"/>
          <w:bCs/>
          <w:kern w:val="0"/>
        </w:rPr>
      </w:pPr>
    </w:p>
    <w:p>
      <w:pPr>
        <w:widowControl/>
        <w:tabs>
          <w:tab w:val="left" w:pos="5445"/>
        </w:tabs>
        <w:snapToGrid w:val="0"/>
        <w:ind w:firstLine="420" w:firstLineChars="200"/>
        <w:jc w:val="left"/>
        <w:rPr>
          <w:rFonts w:ascii="宋体" w:hAnsi="宋体" w:cs="宋体"/>
          <w:bCs/>
          <w:kern w:val="0"/>
        </w:rPr>
      </w:pPr>
    </w:p>
    <w:p>
      <w:pPr>
        <w:widowControl/>
        <w:tabs>
          <w:tab w:val="left" w:pos="5445"/>
        </w:tabs>
        <w:snapToGrid w:val="0"/>
        <w:jc w:val="left"/>
        <w:rPr>
          <w:rFonts w:ascii="宋体" w:hAnsi="宋体" w:cs="宋体"/>
          <w:bCs/>
          <w:kern w:val="0"/>
        </w:rPr>
      </w:pPr>
    </w:p>
    <w:p>
      <w:pPr>
        <w:widowControl/>
        <w:tabs>
          <w:tab w:val="left" w:pos="5445"/>
        </w:tabs>
        <w:snapToGrid w:val="0"/>
        <w:jc w:val="left"/>
        <w:rPr>
          <w:rFonts w:ascii="宋体" w:hAnsi="宋体" w:cs="宋体"/>
          <w:bCs/>
          <w:kern w:val="0"/>
        </w:rPr>
      </w:pPr>
    </w:p>
    <w:p>
      <w:pPr>
        <w:widowControl/>
        <w:tabs>
          <w:tab w:val="left" w:pos="5445"/>
        </w:tabs>
        <w:snapToGrid w:val="0"/>
        <w:jc w:val="left"/>
        <w:rPr>
          <w:rFonts w:ascii="宋体" w:hAnsi="宋体" w:cs="宋体"/>
          <w:bCs/>
          <w:kern w:val="0"/>
        </w:rPr>
      </w:pPr>
    </w:p>
    <w:p>
      <w:pPr>
        <w:widowControl/>
        <w:tabs>
          <w:tab w:val="left" w:pos="5445"/>
        </w:tabs>
        <w:snapToGrid w:val="0"/>
        <w:jc w:val="left"/>
        <w:rPr>
          <w:rFonts w:ascii="宋体" w:hAnsi="宋体" w:cs="宋体"/>
          <w:bCs/>
          <w:kern w:val="0"/>
        </w:rPr>
      </w:pPr>
    </w:p>
    <w:p>
      <w:pPr>
        <w:widowControl/>
        <w:tabs>
          <w:tab w:val="left" w:pos="5445"/>
        </w:tabs>
        <w:snapToGrid w:val="0"/>
        <w:jc w:val="left"/>
        <w:rPr>
          <w:rFonts w:ascii="宋体" w:hAnsi="宋体" w:cs="宋体"/>
          <w:bCs/>
          <w:kern w:val="0"/>
        </w:rPr>
      </w:pPr>
    </w:p>
    <w:p>
      <w:pPr>
        <w:widowControl/>
        <w:tabs>
          <w:tab w:val="left" w:pos="5445"/>
        </w:tabs>
        <w:snapToGrid w:val="0"/>
        <w:ind w:firstLine="420" w:firstLineChars="200"/>
        <w:jc w:val="left"/>
        <w:rPr>
          <w:rFonts w:ascii="宋体" w:hAnsi="宋体" w:cs="宋体"/>
          <w:bCs/>
          <w:kern w:val="0"/>
        </w:rPr>
      </w:pPr>
      <w:r>
        <w:rPr>
          <w:rFonts w:hint="eastAsia" w:ascii="宋体" w:hAnsi="宋体" w:cs="宋体"/>
          <w:b/>
          <w:kern w:val="0"/>
        </w:rPr>
        <w:t xml:space="preserve">   </w:t>
      </w:r>
      <w:r>
        <w:rPr>
          <w:rFonts w:hint="eastAsia" w:ascii="宋体"/>
          <w:sz w:val="24"/>
        </w:rPr>
        <w:t>女子100米跑考试评分标准</w:t>
      </w:r>
    </w:p>
    <w:tbl>
      <w:tblPr>
        <w:tblStyle w:val="14"/>
        <w:tblW w:w="88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8"/>
        <w:gridCol w:w="1478"/>
        <w:gridCol w:w="1478"/>
        <w:gridCol w:w="1479"/>
        <w:gridCol w:w="1479"/>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top w:val="single" w:color="auto" w:sz="12" w:space="0"/>
              <w:left w:val="single" w:color="auto" w:sz="12" w:space="0"/>
              <w:bottom w:val="single" w:color="auto" w:sz="12" w:space="0"/>
            </w:tcBorders>
            <w:vAlign w:val="center"/>
          </w:tcPr>
          <w:p>
            <w:pPr>
              <w:widowControl/>
              <w:spacing w:line="280" w:lineRule="exact"/>
              <w:jc w:val="center"/>
              <w:rPr>
                <w:rFonts w:ascii="宋体"/>
                <w:sz w:val="24"/>
              </w:rPr>
            </w:pPr>
            <w:r>
              <w:rPr>
                <w:rFonts w:hint="eastAsia" w:ascii="宋体"/>
                <w:sz w:val="24"/>
              </w:rPr>
              <w:t>分值</w:t>
            </w:r>
          </w:p>
        </w:tc>
        <w:tc>
          <w:tcPr>
            <w:tcW w:w="1478" w:type="dxa"/>
            <w:tcBorders>
              <w:top w:val="single" w:color="auto" w:sz="12" w:space="0"/>
              <w:bottom w:val="single" w:color="auto" w:sz="12" w:space="0"/>
              <w:right w:val="double" w:color="auto" w:sz="6" w:space="0"/>
            </w:tcBorders>
            <w:vAlign w:val="center"/>
          </w:tcPr>
          <w:p>
            <w:pPr>
              <w:widowControl/>
              <w:spacing w:line="280" w:lineRule="exact"/>
              <w:jc w:val="center"/>
              <w:rPr>
                <w:rFonts w:ascii="宋体"/>
                <w:sz w:val="24"/>
              </w:rPr>
            </w:pPr>
            <w:r>
              <w:rPr>
                <w:rFonts w:hint="eastAsia" w:ascii="宋体"/>
                <w:sz w:val="24"/>
              </w:rPr>
              <w:t>成绩（秒）</w:t>
            </w:r>
          </w:p>
        </w:tc>
        <w:tc>
          <w:tcPr>
            <w:tcW w:w="1478" w:type="dxa"/>
            <w:tcBorders>
              <w:top w:val="single" w:color="auto" w:sz="12" w:space="0"/>
              <w:left w:val="double" w:color="auto" w:sz="6" w:space="0"/>
              <w:bottom w:val="single" w:color="auto" w:sz="12" w:space="0"/>
            </w:tcBorders>
            <w:vAlign w:val="center"/>
          </w:tcPr>
          <w:p>
            <w:pPr>
              <w:widowControl/>
              <w:spacing w:line="280" w:lineRule="exact"/>
              <w:jc w:val="center"/>
              <w:rPr>
                <w:rFonts w:ascii="宋体"/>
                <w:sz w:val="24"/>
              </w:rPr>
            </w:pPr>
            <w:r>
              <w:rPr>
                <w:rFonts w:hint="eastAsia" w:ascii="宋体"/>
                <w:sz w:val="24"/>
              </w:rPr>
              <w:t>分值</w:t>
            </w:r>
          </w:p>
        </w:tc>
        <w:tc>
          <w:tcPr>
            <w:tcW w:w="1479" w:type="dxa"/>
            <w:tcBorders>
              <w:top w:val="single" w:color="auto" w:sz="12" w:space="0"/>
              <w:bottom w:val="single" w:color="auto" w:sz="12" w:space="0"/>
              <w:right w:val="double" w:color="auto" w:sz="6" w:space="0"/>
            </w:tcBorders>
            <w:vAlign w:val="center"/>
          </w:tcPr>
          <w:p>
            <w:pPr>
              <w:widowControl/>
              <w:spacing w:line="280" w:lineRule="exact"/>
              <w:jc w:val="center"/>
              <w:rPr>
                <w:rFonts w:ascii="宋体"/>
                <w:sz w:val="24"/>
              </w:rPr>
            </w:pPr>
            <w:r>
              <w:rPr>
                <w:rFonts w:hint="eastAsia" w:ascii="宋体"/>
                <w:sz w:val="24"/>
              </w:rPr>
              <w:t>成绩（秒）</w:t>
            </w:r>
          </w:p>
        </w:tc>
        <w:tc>
          <w:tcPr>
            <w:tcW w:w="1479" w:type="dxa"/>
            <w:tcBorders>
              <w:top w:val="single" w:color="auto" w:sz="12" w:space="0"/>
              <w:left w:val="double" w:color="auto" w:sz="6" w:space="0"/>
              <w:bottom w:val="single" w:color="auto" w:sz="12" w:space="0"/>
            </w:tcBorders>
            <w:vAlign w:val="center"/>
          </w:tcPr>
          <w:p>
            <w:pPr>
              <w:widowControl/>
              <w:spacing w:line="280" w:lineRule="exact"/>
              <w:jc w:val="center"/>
              <w:rPr>
                <w:rFonts w:ascii="宋体"/>
                <w:sz w:val="24"/>
              </w:rPr>
            </w:pPr>
            <w:r>
              <w:rPr>
                <w:rFonts w:hint="eastAsia" w:ascii="宋体"/>
                <w:sz w:val="24"/>
              </w:rPr>
              <w:t>分值</w:t>
            </w:r>
          </w:p>
        </w:tc>
        <w:tc>
          <w:tcPr>
            <w:tcW w:w="1479" w:type="dxa"/>
            <w:tcBorders>
              <w:top w:val="single" w:color="auto" w:sz="12" w:space="0"/>
              <w:bottom w:val="single" w:color="auto" w:sz="12" w:space="0"/>
              <w:right w:val="single" w:color="auto" w:sz="12" w:space="0"/>
            </w:tcBorders>
            <w:vAlign w:val="center"/>
          </w:tcPr>
          <w:p>
            <w:pPr>
              <w:widowControl/>
              <w:spacing w:line="280" w:lineRule="exact"/>
              <w:jc w:val="center"/>
              <w:rPr>
                <w:rFonts w:ascii="宋体"/>
                <w:sz w:val="24"/>
              </w:rPr>
            </w:pPr>
            <w:r>
              <w:rPr>
                <w:rFonts w:hint="eastAsia" w:ascii="宋体"/>
                <w:sz w:val="24"/>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top w:val="single" w:color="auto" w:sz="12" w:space="0"/>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75</w:t>
            </w:r>
          </w:p>
        </w:tc>
        <w:tc>
          <w:tcPr>
            <w:tcW w:w="1478" w:type="dxa"/>
            <w:tcBorders>
              <w:top w:val="single" w:color="auto" w:sz="12" w:space="0"/>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13.00 </w:t>
            </w:r>
          </w:p>
        </w:tc>
        <w:tc>
          <w:tcPr>
            <w:tcW w:w="1478" w:type="dxa"/>
            <w:tcBorders>
              <w:top w:val="single" w:color="auto" w:sz="12" w:space="0"/>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50</w:t>
            </w:r>
          </w:p>
        </w:tc>
        <w:tc>
          <w:tcPr>
            <w:tcW w:w="1479" w:type="dxa"/>
            <w:tcBorders>
              <w:top w:val="single" w:color="auto" w:sz="12" w:space="0"/>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14.01 </w:t>
            </w:r>
          </w:p>
        </w:tc>
        <w:tc>
          <w:tcPr>
            <w:tcW w:w="1479" w:type="dxa"/>
            <w:tcBorders>
              <w:top w:val="single" w:color="auto" w:sz="12" w:space="0"/>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25</w:t>
            </w:r>
          </w:p>
        </w:tc>
        <w:tc>
          <w:tcPr>
            <w:tcW w:w="1479" w:type="dxa"/>
            <w:tcBorders>
              <w:top w:val="single" w:color="auto" w:sz="12" w:space="0"/>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15.89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74</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13.05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49</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14.06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24</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15.98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73</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13.10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48</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14.11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23</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16.07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72</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13.15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47</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14.16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22</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16.16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71</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13.20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46</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14.21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21</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16.25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70</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13.25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45</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14.26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20</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16.34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69</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13.30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44</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14.31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19</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16.43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68</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13.35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43</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14.36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18</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16.52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67</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13.40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42</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14.42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17</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16.61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66</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13.45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41</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14.49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16</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16.70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65</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13.50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40</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14.56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15</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16.79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64</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13.55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39</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14.64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14</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16.88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63</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13.59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38</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14.72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13</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16.97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62</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13.63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37</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14.81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12</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17.06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61</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13.67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36</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14.90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11</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17.15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60</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13.71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35</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14.99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10</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17.24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59</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13.74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34</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15.08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9</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17.33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58</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13.77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33</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15.17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8</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17.42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57</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13.80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32</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15.26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7</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17.51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56</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13.83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31</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15.35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6</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17.60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55</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13.86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30</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15.44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5</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17.69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54</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13.89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29</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15.53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4</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17.78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53</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13.92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28</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15.62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3</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17.87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52</w:t>
            </w:r>
          </w:p>
        </w:tc>
        <w:tc>
          <w:tcPr>
            <w:tcW w:w="1478"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13.95 </w:t>
            </w:r>
          </w:p>
        </w:tc>
        <w:tc>
          <w:tcPr>
            <w:tcW w:w="1478"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27</w:t>
            </w:r>
          </w:p>
        </w:tc>
        <w:tc>
          <w:tcPr>
            <w:tcW w:w="1479" w:type="dxa"/>
            <w:tcBorders>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15.71 </w:t>
            </w:r>
          </w:p>
        </w:tc>
        <w:tc>
          <w:tcPr>
            <w:tcW w:w="1479" w:type="dxa"/>
            <w:tcBorders>
              <w:lef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2</w:t>
            </w:r>
          </w:p>
        </w:tc>
        <w:tc>
          <w:tcPr>
            <w:tcW w:w="1479" w:type="dxa"/>
            <w:tcBorders>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17.96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jc w:val="center"/>
        </w:trPr>
        <w:tc>
          <w:tcPr>
            <w:tcW w:w="1478" w:type="dxa"/>
            <w:tcBorders>
              <w:left w:val="single" w:color="auto" w:sz="12" w:space="0"/>
              <w:bottom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51</w:t>
            </w:r>
          </w:p>
        </w:tc>
        <w:tc>
          <w:tcPr>
            <w:tcW w:w="1478" w:type="dxa"/>
            <w:tcBorders>
              <w:bottom w:val="single" w:color="auto" w:sz="12" w:space="0"/>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13.98 </w:t>
            </w:r>
          </w:p>
        </w:tc>
        <w:tc>
          <w:tcPr>
            <w:tcW w:w="1478" w:type="dxa"/>
            <w:tcBorders>
              <w:left w:val="double" w:color="auto" w:sz="6" w:space="0"/>
              <w:bottom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26</w:t>
            </w:r>
          </w:p>
        </w:tc>
        <w:tc>
          <w:tcPr>
            <w:tcW w:w="1479" w:type="dxa"/>
            <w:tcBorders>
              <w:bottom w:val="single" w:color="auto" w:sz="12" w:space="0"/>
              <w:right w:val="double" w:color="auto" w:sz="6"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15.80 </w:t>
            </w:r>
          </w:p>
        </w:tc>
        <w:tc>
          <w:tcPr>
            <w:tcW w:w="1479" w:type="dxa"/>
            <w:tcBorders>
              <w:left w:val="double" w:color="auto" w:sz="6" w:space="0"/>
              <w:bottom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1</w:t>
            </w:r>
          </w:p>
        </w:tc>
        <w:tc>
          <w:tcPr>
            <w:tcW w:w="1479" w:type="dxa"/>
            <w:tcBorders>
              <w:bottom w:val="single" w:color="auto" w:sz="12" w:space="0"/>
              <w:right w:val="single" w:color="auto" w:sz="12" w:space="0"/>
            </w:tcBorders>
            <w:vAlign w:val="center"/>
          </w:tcPr>
          <w:p>
            <w:pPr>
              <w:widowControl/>
              <w:spacing w:line="320" w:lineRule="exact"/>
              <w:jc w:val="center"/>
              <w:rPr>
                <w:rFonts w:ascii="宋体" w:hAnsi="宋体" w:cs="宋体"/>
                <w:kern w:val="0"/>
                <w:sz w:val="28"/>
                <w:szCs w:val="28"/>
              </w:rPr>
            </w:pPr>
            <w:r>
              <w:rPr>
                <w:rFonts w:hint="eastAsia" w:ascii="宋体" w:hAnsi="宋体" w:cs="宋体"/>
                <w:kern w:val="0"/>
                <w:sz w:val="28"/>
                <w:szCs w:val="28"/>
              </w:rPr>
              <w:t xml:space="preserve">18.05 </w:t>
            </w:r>
          </w:p>
        </w:tc>
      </w:tr>
    </w:tbl>
    <w:p>
      <w:pPr>
        <w:ind w:firstLine="300" w:firstLineChars="100"/>
        <w:rPr>
          <w:rFonts w:ascii="宋体" w:cs="宋体"/>
          <w:bCs/>
          <w:sz w:val="30"/>
          <w:szCs w:val="30"/>
        </w:rPr>
      </w:pPr>
    </w:p>
    <w:p>
      <w:pPr>
        <w:ind w:firstLine="300" w:firstLineChars="100"/>
        <w:rPr>
          <w:rFonts w:ascii="宋体" w:cs="宋体"/>
          <w:bCs/>
          <w:sz w:val="30"/>
          <w:szCs w:val="30"/>
        </w:rPr>
      </w:pPr>
    </w:p>
    <w:p>
      <w:pPr>
        <w:ind w:firstLine="300" w:firstLineChars="100"/>
        <w:rPr>
          <w:rFonts w:ascii="宋体" w:cs="宋体"/>
          <w:bCs/>
          <w:sz w:val="30"/>
          <w:szCs w:val="30"/>
        </w:rPr>
      </w:pPr>
    </w:p>
    <w:p>
      <w:pPr>
        <w:ind w:firstLine="300" w:firstLineChars="100"/>
        <w:rPr>
          <w:rFonts w:ascii="宋体" w:cs="宋体"/>
          <w:bCs/>
          <w:sz w:val="30"/>
          <w:szCs w:val="30"/>
        </w:rPr>
      </w:pPr>
    </w:p>
    <w:p>
      <w:pPr>
        <w:ind w:firstLine="300" w:firstLineChars="100"/>
        <w:rPr>
          <w:rFonts w:ascii="宋体" w:cs="宋体"/>
          <w:bCs/>
          <w:sz w:val="30"/>
          <w:szCs w:val="30"/>
        </w:rPr>
      </w:pPr>
    </w:p>
    <w:p>
      <w:pPr>
        <w:ind w:firstLine="300" w:firstLineChars="100"/>
        <w:rPr>
          <w:rFonts w:ascii="宋体" w:cs="宋体"/>
          <w:bCs/>
          <w:sz w:val="30"/>
          <w:szCs w:val="30"/>
        </w:rPr>
      </w:pPr>
    </w:p>
    <w:p>
      <w:pPr>
        <w:spacing w:line="560" w:lineRule="exact"/>
        <w:ind w:firstLine="720" w:firstLineChars="300"/>
        <w:rPr>
          <w:rFonts w:ascii="宋体"/>
          <w:sz w:val="24"/>
        </w:rPr>
      </w:pPr>
      <w:r>
        <w:rPr>
          <w:rFonts w:hint="eastAsia" w:ascii="宋体"/>
          <w:sz w:val="24"/>
        </w:rPr>
        <w:t>立定三级跳远评分标准详见“表3男子立定三级跳远考试评分标准”和“表4女子立定三级跳远考试评分标准”。</w:t>
      </w:r>
    </w:p>
    <w:p>
      <w:pPr>
        <w:snapToGrid w:val="0"/>
        <w:spacing w:line="560" w:lineRule="exact"/>
        <w:ind w:firstLine="720" w:firstLineChars="300"/>
        <w:rPr>
          <w:rFonts w:ascii="宋体"/>
          <w:sz w:val="24"/>
        </w:rPr>
      </w:pPr>
      <w:r>
        <w:rPr>
          <w:rFonts w:hint="eastAsia" w:ascii="宋体"/>
          <w:sz w:val="24"/>
        </w:rPr>
        <w:t>男子立定三级跳远考试评分标准</w:t>
      </w:r>
    </w:p>
    <w:tbl>
      <w:tblPr>
        <w:tblStyle w:val="14"/>
        <w:tblW w:w="87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1458"/>
        <w:gridCol w:w="1458"/>
        <w:gridCol w:w="1458"/>
        <w:gridCol w:w="1458"/>
        <w:gridCol w:w="1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12" w:space="0"/>
              <w:left w:val="single" w:color="auto" w:sz="12" w:space="0"/>
              <w:bottom w:val="single" w:color="auto" w:sz="12" w:space="0"/>
              <w:right w:val="single" w:color="auto" w:sz="4" w:space="0"/>
            </w:tcBorders>
            <w:vAlign w:val="center"/>
          </w:tcPr>
          <w:p>
            <w:pPr>
              <w:widowControl/>
              <w:spacing w:line="300" w:lineRule="exact"/>
              <w:jc w:val="center"/>
              <w:rPr>
                <w:rFonts w:ascii="宋体"/>
                <w:sz w:val="24"/>
              </w:rPr>
            </w:pPr>
            <w:r>
              <w:rPr>
                <w:rFonts w:hint="eastAsia" w:ascii="宋体"/>
                <w:sz w:val="24"/>
              </w:rPr>
              <w:t>分  值</w:t>
            </w:r>
          </w:p>
        </w:tc>
        <w:tc>
          <w:tcPr>
            <w:tcW w:w="1458" w:type="dxa"/>
            <w:tcBorders>
              <w:top w:val="single" w:color="auto" w:sz="12" w:space="0"/>
              <w:left w:val="single" w:color="auto" w:sz="4" w:space="0"/>
              <w:bottom w:val="single" w:color="auto" w:sz="12" w:space="0"/>
              <w:right w:val="double" w:color="auto" w:sz="6" w:space="0"/>
            </w:tcBorders>
            <w:vAlign w:val="center"/>
          </w:tcPr>
          <w:p>
            <w:pPr>
              <w:widowControl/>
              <w:spacing w:line="300" w:lineRule="exact"/>
              <w:jc w:val="center"/>
              <w:rPr>
                <w:rFonts w:ascii="宋体"/>
                <w:sz w:val="24"/>
              </w:rPr>
            </w:pPr>
            <w:r>
              <w:rPr>
                <w:rFonts w:hint="eastAsia" w:ascii="宋体"/>
                <w:sz w:val="24"/>
              </w:rPr>
              <w:t>成  绩（米）</w:t>
            </w:r>
          </w:p>
        </w:tc>
        <w:tc>
          <w:tcPr>
            <w:tcW w:w="1458" w:type="dxa"/>
            <w:tcBorders>
              <w:top w:val="single" w:color="auto" w:sz="12" w:space="0"/>
              <w:left w:val="double" w:color="auto" w:sz="6" w:space="0"/>
              <w:bottom w:val="single" w:color="auto" w:sz="12" w:space="0"/>
              <w:right w:val="single" w:color="auto" w:sz="4" w:space="0"/>
            </w:tcBorders>
            <w:vAlign w:val="center"/>
          </w:tcPr>
          <w:p>
            <w:pPr>
              <w:widowControl/>
              <w:spacing w:line="300" w:lineRule="exact"/>
              <w:jc w:val="center"/>
              <w:rPr>
                <w:rFonts w:ascii="宋体"/>
                <w:sz w:val="24"/>
              </w:rPr>
            </w:pPr>
            <w:r>
              <w:rPr>
                <w:rFonts w:hint="eastAsia" w:ascii="宋体"/>
                <w:sz w:val="24"/>
              </w:rPr>
              <w:t>分  值</w:t>
            </w:r>
          </w:p>
        </w:tc>
        <w:tc>
          <w:tcPr>
            <w:tcW w:w="1458" w:type="dxa"/>
            <w:tcBorders>
              <w:top w:val="single" w:color="auto" w:sz="12" w:space="0"/>
              <w:left w:val="single" w:color="auto" w:sz="4" w:space="0"/>
              <w:bottom w:val="single" w:color="auto" w:sz="12" w:space="0"/>
              <w:right w:val="double" w:color="auto" w:sz="6" w:space="0"/>
            </w:tcBorders>
            <w:vAlign w:val="center"/>
          </w:tcPr>
          <w:p>
            <w:pPr>
              <w:widowControl/>
              <w:spacing w:line="300" w:lineRule="exact"/>
              <w:jc w:val="center"/>
              <w:rPr>
                <w:rFonts w:ascii="宋体"/>
                <w:sz w:val="24"/>
              </w:rPr>
            </w:pPr>
            <w:r>
              <w:rPr>
                <w:rFonts w:hint="eastAsia" w:ascii="宋体"/>
                <w:sz w:val="24"/>
              </w:rPr>
              <w:t>成  绩（米）</w:t>
            </w:r>
          </w:p>
        </w:tc>
        <w:tc>
          <w:tcPr>
            <w:tcW w:w="1458" w:type="dxa"/>
            <w:tcBorders>
              <w:top w:val="single" w:color="auto" w:sz="12" w:space="0"/>
              <w:left w:val="double" w:color="auto" w:sz="6" w:space="0"/>
              <w:bottom w:val="single" w:color="auto" w:sz="12" w:space="0"/>
              <w:right w:val="single" w:color="auto" w:sz="4" w:space="0"/>
            </w:tcBorders>
            <w:vAlign w:val="center"/>
          </w:tcPr>
          <w:p>
            <w:pPr>
              <w:widowControl/>
              <w:spacing w:line="300" w:lineRule="exact"/>
              <w:jc w:val="center"/>
              <w:rPr>
                <w:rFonts w:ascii="宋体"/>
                <w:sz w:val="24"/>
              </w:rPr>
            </w:pPr>
            <w:r>
              <w:rPr>
                <w:rFonts w:hint="eastAsia" w:ascii="宋体"/>
                <w:sz w:val="24"/>
              </w:rPr>
              <w:t>分  值</w:t>
            </w:r>
          </w:p>
        </w:tc>
        <w:tc>
          <w:tcPr>
            <w:tcW w:w="1458" w:type="dxa"/>
            <w:tcBorders>
              <w:top w:val="single" w:color="auto" w:sz="12" w:space="0"/>
              <w:left w:val="single" w:color="auto" w:sz="4" w:space="0"/>
              <w:bottom w:val="single" w:color="auto" w:sz="12" w:space="0"/>
              <w:right w:val="single" w:color="auto" w:sz="12" w:space="0"/>
            </w:tcBorders>
            <w:vAlign w:val="center"/>
          </w:tcPr>
          <w:p>
            <w:pPr>
              <w:widowControl/>
              <w:spacing w:line="300" w:lineRule="exact"/>
              <w:jc w:val="center"/>
              <w:rPr>
                <w:rFonts w:ascii="宋体"/>
                <w:sz w:val="24"/>
              </w:rPr>
            </w:pPr>
            <w:r>
              <w:rPr>
                <w:rFonts w:hint="eastAsia" w:ascii="宋体"/>
                <w:sz w:val="24"/>
              </w:rPr>
              <w:t>成  绩（米）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12"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75</w:t>
            </w:r>
          </w:p>
        </w:tc>
        <w:tc>
          <w:tcPr>
            <w:tcW w:w="1458" w:type="dxa"/>
            <w:tcBorders>
              <w:top w:val="single" w:color="auto" w:sz="12"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9.50</w:t>
            </w:r>
          </w:p>
        </w:tc>
        <w:tc>
          <w:tcPr>
            <w:tcW w:w="1458" w:type="dxa"/>
            <w:tcBorders>
              <w:top w:val="single" w:color="auto" w:sz="12"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50</w:t>
            </w:r>
          </w:p>
        </w:tc>
        <w:tc>
          <w:tcPr>
            <w:tcW w:w="1458" w:type="dxa"/>
            <w:tcBorders>
              <w:top w:val="single" w:color="auto" w:sz="12"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8.75</w:t>
            </w:r>
          </w:p>
        </w:tc>
        <w:tc>
          <w:tcPr>
            <w:tcW w:w="1458" w:type="dxa"/>
            <w:tcBorders>
              <w:top w:val="single" w:color="auto" w:sz="12"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25</w:t>
            </w:r>
          </w:p>
        </w:tc>
        <w:tc>
          <w:tcPr>
            <w:tcW w:w="1458" w:type="dxa"/>
            <w:tcBorders>
              <w:top w:val="single" w:color="auto" w:sz="12"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74</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9.47</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49</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8.72</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24</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73</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9.44</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48</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8.69</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23</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72</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9.41</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47</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8.66</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22</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71</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9.38</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46</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8.63</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21</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70</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9.35</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45</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8.60</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20</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69</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9.32</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44</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8.56</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19</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68</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9.29</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43</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8.52</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18</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67</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9.26</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42</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8.48</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17</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66</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9.23</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41</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8.44</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16</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65</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9.20</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40</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8.40</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15</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64</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9.17</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39</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8.36</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14</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63</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9.14</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38</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8.32</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13</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62</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9.11</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37</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8.28</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12</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61</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9.08</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36</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8.24</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11</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60</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9.05</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35</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8.20</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10</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59</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9.02</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34</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8.15</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58</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8.99</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33</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8.10</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57</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8.96</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32</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8.05</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56</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8.93</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31</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8.00</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55</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8.90</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30</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7.95</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54</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8.87</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29</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7.90</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53</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8.84</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28</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7.85</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52</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8.81</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27</w:t>
            </w:r>
          </w:p>
        </w:tc>
        <w:tc>
          <w:tcPr>
            <w:tcW w:w="145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7.80</w:t>
            </w:r>
          </w:p>
        </w:tc>
        <w:tc>
          <w:tcPr>
            <w:tcW w:w="1458"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w:t>
            </w:r>
          </w:p>
        </w:tc>
        <w:tc>
          <w:tcPr>
            <w:tcW w:w="145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458" w:type="dxa"/>
            <w:tcBorders>
              <w:top w:val="single" w:color="auto" w:sz="4" w:space="0"/>
              <w:left w:val="single" w:color="auto" w:sz="12" w:space="0"/>
              <w:bottom w:val="single" w:color="auto" w:sz="12"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51</w:t>
            </w:r>
          </w:p>
        </w:tc>
        <w:tc>
          <w:tcPr>
            <w:tcW w:w="1458" w:type="dxa"/>
            <w:tcBorders>
              <w:top w:val="single" w:color="auto" w:sz="4" w:space="0"/>
              <w:left w:val="single" w:color="auto" w:sz="4" w:space="0"/>
              <w:bottom w:val="single" w:color="auto" w:sz="12"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8.78</w:t>
            </w:r>
          </w:p>
        </w:tc>
        <w:tc>
          <w:tcPr>
            <w:tcW w:w="1458" w:type="dxa"/>
            <w:tcBorders>
              <w:top w:val="single" w:color="auto" w:sz="4" w:space="0"/>
              <w:left w:val="double" w:color="auto" w:sz="6" w:space="0"/>
              <w:bottom w:val="single" w:color="auto" w:sz="12"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26</w:t>
            </w:r>
          </w:p>
        </w:tc>
        <w:tc>
          <w:tcPr>
            <w:tcW w:w="1458" w:type="dxa"/>
            <w:tcBorders>
              <w:top w:val="single" w:color="auto" w:sz="4" w:space="0"/>
              <w:left w:val="single" w:color="auto" w:sz="4" w:space="0"/>
              <w:bottom w:val="single" w:color="auto" w:sz="12"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7.75</w:t>
            </w:r>
          </w:p>
        </w:tc>
        <w:tc>
          <w:tcPr>
            <w:tcW w:w="1458" w:type="dxa"/>
            <w:tcBorders>
              <w:top w:val="single" w:color="auto" w:sz="4" w:space="0"/>
              <w:left w:val="double" w:color="auto" w:sz="6" w:space="0"/>
              <w:bottom w:val="single" w:color="auto" w:sz="12" w:space="0"/>
              <w:right w:val="single" w:color="auto" w:sz="4"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w:t>
            </w:r>
          </w:p>
        </w:tc>
        <w:tc>
          <w:tcPr>
            <w:tcW w:w="1458" w:type="dxa"/>
            <w:tcBorders>
              <w:top w:val="single" w:color="auto" w:sz="4" w:space="0"/>
              <w:left w:val="single" w:color="auto" w:sz="4" w:space="0"/>
              <w:bottom w:val="single" w:color="auto" w:sz="12" w:space="0"/>
              <w:right w:val="single" w:color="auto" w:sz="12" w:space="0"/>
            </w:tcBorders>
            <w:vAlign w:val="center"/>
          </w:tcPr>
          <w:p>
            <w:pPr>
              <w:widowControl/>
              <w:tabs>
                <w:tab w:val="left" w:pos="-108"/>
              </w:tabs>
              <w:spacing w:line="300" w:lineRule="exact"/>
              <w:ind w:left="-252" w:leftChars="-120" w:firstLine="288" w:firstLineChars="120"/>
              <w:jc w:val="center"/>
              <w:rPr>
                <w:rFonts w:ascii="宋体" w:hAnsi="宋体" w:cs="宋体"/>
                <w:kern w:val="0"/>
                <w:sz w:val="24"/>
              </w:rPr>
            </w:pPr>
            <w:r>
              <w:rPr>
                <w:rFonts w:hint="eastAsia" w:ascii="宋体" w:hAnsi="宋体" w:cs="宋体"/>
                <w:kern w:val="0"/>
                <w:sz w:val="24"/>
              </w:rPr>
              <w:t>6.50</w:t>
            </w:r>
          </w:p>
        </w:tc>
      </w:tr>
    </w:tbl>
    <w:p>
      <w:pPr>
        <w:widowControl/>
        <w:snapToGrid w:val="0"/>
        <w:spacing w:before="150" w:line="360" w:lineRule="atLeast"/>
        <w:rPr>
          <w:rFonts w:ascii="宋体" w:hAnsi="宋体" w:cs="宋体"/>
          <w:b/>
          <w:kern w:val="0"/>
        </w:rPr>
      </w:pPr>
      <w:r>
        <w:rPr>
          <w:rFonts w:hint="eastAsia" w:ascii="宋体" w:hAnsi="宋体" w:cs="宋体"/>
          <w:b/>
          <w:kern w:val="0"/>
        </w:rPr>
        <w:t xml:space="preserve">　　  </w:t>
      </w:r>
      <w:r>
        <w:rPr>
          <w:rFonts w:hint="eastAsia" w:ascii="宋体"/>
          <w:sz w:val="24"/>
        </w:rPr>
        <w:t>女子立定三级跳远考试评分标准</w:t>
      </w:r>
    </w:p>
    <w:tbl>
      <w:tblPr>
        <w:tblStyle w:val="14"/>
        <w:tblW w:w="8832"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472"/>
        <w:gridCol w:w="1472"/>
        <w:gridCol w:w="1472"/>
        <w:gridCol w:w="1472"/>
        <w:gridCol w:w="1472"/>
        <w:gridCol w:w="147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12" w:space="0"/>
              <w:left w:val="single" w:color="auto" w:sz="12" w:space="0"/>
              <w:bottom w:val="single" w:color="auto" w:sz="12"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分  值</w:t>
            </w:r>
          </w:p>
        </w:tc>
        <w:tc>
          <w:tcPr>
            <w:tcW w:w="1472" w:type="dxa"/>
            <w:tcBorders>
              <w:top w:val="single" w:color="auto" w:sz="12" w:space="0"/>
              <w:left w:val="single" w:color="auto" w:sz="6" w:space="0"/>
              <w:bottom w:val="single" w:color="auto" w:sz="12" w:space="0"/>
              <w:right w:val="double" w:color="auto" w:sz="6" w:space="0"/>
            </w:tcBorders>
          </w:tcPr>
          <w:p>
            <w:pPr>
              <w:widowControl/>
              <w:spacing w:line="300" w:lineRule="exact"/>
              <w:jc w:val="center"/>
              <w:rPr>
                <w:rFonts w:ascii="宋体" w:hAnsi="宋体" w:cs="宋体"/>
                <w:kern w:val="0"/>
                <w:sz w:val="24"/>
              </w:rPr>
            </w:pPr>
            <w:r>
              <w:rPr>
                <w:rFonts w:hint="eastAsia" w:ascii="宋体" w:hAnsi="宋体" w:cs="宋体"/>
                <w:kern w:val="0"/>
                <w:sz w:val="24"/>
              </w:rPr>
              <w:t>成  绩（米）</w:t>
            </w:r>
          </w:p>
        </w:tc>
        <w:tc>
          <w:tcPr>
            <w:tcW w:w="1472" w:type="dxa"/>
            <w:tcBorders>
              <w:top w:val="single" w:color="auto" w:sz="12" w:space="0"/>
              <w:left w:val="double" w:color="auto" w:sz="6" w:space="0"/>
              <w:bottom w:val="single" w:color="auto" w:sz="12"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分  值</w:t>
            </w:r>
          </w:p>
        </w:tc>
        <w:tc>
          <w:tcPr>
            <w:tcW w:w="1472" w:type="dxa"/>
            <w:tcBorders>
              <w:top w:val="single" w:color="auto" w:sz="12" w:space="0"/>
              <w:left w:val="single" w:color="auto" w:sz="6" w:space="0"/>
              <w:bottom w:val="single" w:color="auto" w:sz="12" w:space="0"/>
              <w:right w:val="double" w:color="auto" w:sz="6" w:space="0"/>
            </w:tcBorders>
          </w:tcPr>
          <w:p>
            <w:pPr>
              <w:widowControl/>
              <w:spacing w:line="300" w:lineRule="exact"/>
              <w:jc w:val="center"/>
              <w:rPr>
                <w:rFonts w:ascii="宋体" w:hAnsi="宋体" w:cs="宋体"/>
                <w:kern w:val="0"/>
                <w:sz w:val="24"/>
              </w:rPr>
            </w:pPr>
            <w:r>
              <w:rPr>
                <w:rFonts w:hint="eastAsia" w:ascii="宋体" w:hAnsi="宋体" w:cs="宋体"/>
                <w:kern w:val="0"/>
                <w:sz w:val="24"/>
              </w:rPr>
              <w:t>成  绩（米）</w:t>
            </w:r>
          </w:p>
        </w:tc>
        <w:tc>
          <w:tcPr>
            <w:tcW w:w="1472" w:type="dxa"/>
            <w:tcBorders>
              <w:top w:val="single" w:color="auto" w:sz="12" w:space="0"/>
              <w:left w:val="double" w:color="auto" w:sz="6" w:space="0"/>
              <w:bottom w:val="single" w:color="auto" w:sz="12"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分  值</w:t>
            </w:r>
          </w:p>
        </w:tc>
        <w:tc>
          <w:tcPr>
            <w:tcW w:w="1472" w:type="dxa"/>
            <w:tcBorders>
              <w:top w:val="single" w:color="auto" w:sz="12" w:space="0"/>
              <w:left w:val="single" w:color="auto" w:sz="6" w:space="0"/>
              <w:bottom w:val="single" w:color="auto" w:sz="12" w:space="0"/>
              <w:right w:val="single" w:color="auto" w:sz="12" w:space="0"/>
            </w:tcBorders>
          </w:tcPr>
          <w:p>
            <w:pPr>
              <w:widowControl/>
              <w:spacing w:line="300" w:lineRule="exact"/>
              <w:jc w:val="center"/>
              <w:rPr>
                <w:rFonts w:ascii="宋体" w:hAnsi="宋体" w:cs="宋体"/>
                <w:kern w:val="0"/>
                <w:sz w:val="24"/>
              </w:rPr>
            </w:pPr>
            <w:r>
              <w:rPr>
                <w:rFonts w:hint="eastAsia" w:ascii="宋体" w:hAnsi="宋体" w:cs="宋体"/>
                <w:kern w:val="0"/>
                <w:sz w:val="24"/>
              </w:rPr>
              <w:t>成  绩（米）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12"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75</w:t>
            </w:r>
          </w:p>
        </w:tc>
        <w:tc>
          <w:tcPr>
            <w:tcW w:w="1472" w:type="dxa"/>
            <w:tcBorders>
              <w:top w:val="single" w:color="auto" w:sz="12"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7.90</w:t>
            </w:r>
          </w:p>
        </w:tc>
        <w:tc>
          <w:tcPr>
            <w:tcW w:w="1472" w:type="dxa"/>
            <w:tcBorders>
              <w:top w:val="single" w:color="auto" w:sz="12"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50</w:t>
            </w:r>
          </w:p>
        </w:tc>
        <w:tc>
          <w:tcPr>
            <w:tcW w:w="1472" w:type="dxa"/>
            <w:tcBorders>
              <w:top w:val="single" w:color="auto" w:sz="12"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7.20</w:t>
            </w:r>
          </w:p>
        </w:tc>
        <w:tc>
          <w:tcPr>
            <w:tcW w:w="1472" w:type="dxa"/>
            <w:tcBorders>
              <w:top w:val="single" w:color="auto" w:sz="12"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25</w:t>
            </w:r>
          </w:p>
        </w:tc>
        <w:tc>
          <w:tcPr>
            <w:tcW w:w="1472" w:type="dxa"/>
            <w:tcBorders>
              <w:top w:val="single" w:color="auto" w:sz="12"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74</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7.88</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49</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7.17</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24</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73</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7.86</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48</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7.14</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23</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72</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7.84</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47</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7.11</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22</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6.05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71</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7.82</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46</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7.08</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21</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6.00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70</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7.80</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45</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7.05</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20</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5.95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69</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7.77</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44</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7.02</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19</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5.90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68</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7.74</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43</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6.99</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18</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5.85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67</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7.71</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42</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6.96</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17</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5.80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66</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7.68</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41</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6.93</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16</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5.75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65</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7.65</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40</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6.90</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15</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5.70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64</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7.62</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39</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6.86</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14</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5.65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63</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7.59</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38</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6.82</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13</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5.60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62</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7.56</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37</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6.78</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12</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5.55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61</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7.53</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36</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6.74</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11</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5.50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60</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7.50</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35</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6.70</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10</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5.45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59</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7.47</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34</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6.65</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9</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5.40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58</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7.44</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33</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6.60</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8</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5.35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57</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7.41</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32</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6.55</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5.30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56</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7.38</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31</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6.50</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5.25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55</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7.35</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30</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6.45</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54</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7.32</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29</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6.40</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4</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53</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7.29</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28</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6.35</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3</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52</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7.26</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27</w:t>
            </w:r>
          </w:p>
        </w:tc>
        <w:tc>
          <w:tcPr>
            <w:tcW w:w="147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6.30</w:t>
            </w:r>
          </w:p>
        </w:tc>
        <w:tc>
          <w:tcPr>
            <w:tcW w:w="1472"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w:t>
            </w:r>
          </w:p>
        </w:tc>
        <w:tc>
          <w:tcPr>
            <w:tcW w:w="147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5.05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74" w:hRule="exact"/>
          <w:jc w:val="center"/>
        </w:trPr>
        <w:tc>
          <w:tcPr>
            <w:tcW w:w="1472" w:type="dxa"/>
            <w:tcBorders>
              <w:top w:val="single" w:color="auto" w:sz="4" w:space="0"/>
              <w:left w:val="single" w:color="auto" w:sz="12" w:space="0"/>
              <w:bottom w:val="single" w:color="auto" w:sz="12"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51</w:t>
            </w:r>
          </w:p>
        </w:tc>
        <w:tc>
          <w:tcPr>
            <w:tcW w:w="1472" w:type="dxa"/>
            <w:tcBorders>
              <w:top w:val="single" w:color="auto" w:sz="4" w:space="0"/>
              <w:left w:val="single" w:color="auto" w:sz="6" w:space="0"/>
              <w:bottom w:val="single" w:color="auto" w:sz="12"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7.23</w:t>
            </w:r>
          </w:p>
        </w:tc>
        <w:tc>
          <w:tcPr>
            <w:tcW w:w="1472" w:type="dxa"/>
            <w:tcBorders>
              <w:top w:val="single" w:color="auto" w:sz="4" w:space="0"/>
              <w:left w:val="double" w:color="auto" w:sz="6" w:space="0"/>
              <w:bottom w:val="single" w:color="auto" w:sz="12"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26</w:t>
            </w:r>
          </w:p>
        </w:tc>
        <w:tc>
          <w:tcPr>
            <w:tcW w:w="1472" w:type="dxa"/>
            <w:tcBorders>
              <w:top w:val="single" w:color="auto" w:sz="4" w:space="0"/>
              <w:left w:val="single" w:color="auto" w:sz="6" w:space="0"/>
              <w:bottom w:val="single" w:color="auto" w:sz="12" w:space="0"/>
              <w:right w:val="doub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6.25</w:t>
            </w:r>
          </w:p>
        </w:tc>
        <w:tc>
          <w:tcPr>
            <w:tcW w:w="1472" w:type="dxa"/>
            <w:tcBorders>
              <w:top w:val="single" w:color="auto" w:sz="4" w:space="0"/>
              <w:left w:val="double" w:color="auto" w:sz="6" w:space="0"/>
              <w:bottom w:val="single" w:color="auto" w:sz="12" w:space="0"/>
              <w:right w:val="single" w:color="auto" w:sz="6"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1</w:t>
            </w:r>
          </w:p>
        </w:tc>
        <w:tc>
          <w:tcPr>
            <w:tcW w:w="1472" w:type="dxa"/>
            <w:tcBorders>
              <w:top w:val="single" w:color="auto" w:sz="4" w:space="0"/>
              <w:left w:val="single" w:color="auto" w:sz="6" w:space="0"/>
              <w:bottom w:val="single" w:color="auto" w:sz="12" w:space="0"/>
              <w:right w:val="single" w:color="auto" w:sz="12" w:space="0"/>
            </w:tcBorders>
            <w:vAlign w:val="center"/>
          </w:tcPr>
          <w:p>
            <w:pPr>
              <w:widowControl/>
              <w:spacing w:line="300" w:lineRule="exact"/>
              <w:jc w:val="center"/>
              <w:rPr>
                <w:rFonts w:ascii="宋体" w:hAnsi="宋体" w:cs="宋体"/>
                <w:kern w:val="0"/>
                <w:sz w:val="24"/>
              </w:rPr>
            </w:pPr>
            <w:r>
              <w:rPr>
                <w:rFonts w:hint="eastAsia" w:ascii="宋体" w:hAnsi="宋体" w:cs="宋体"/>
                <w:kern w:val="0"/>
                <w:sz w:val="24"/>
              </w:rPr>
              <w:t>5.00</w:t>
            </w:r>
          </w:p>
        </w:tc>
      </w:tr>
    </w:tbl>
    <w:p>
      <w:pPr>
        <w:ind w:firstLine="300" w:firstLineChars="100"/>
        <w:rPr>
          <w:rFonts w:ascii="宋体" w:cs="宋体"/>
          <w:bCs/>
          <w:sz w:val="30"/>
          <w:szCs w:val="30"/>
        </w:rPr>
      </w:pPr>
    </w:p>
    <w:p>
      <w:pPr>
        <w:ind w:firstLine="300" w:firstLineChars="100"/>
        <w:rPr>
          <w:rFonts w:ascii="宋体" w:cs="宋体"/>
          <w:bCs/>
          <w:sz w:val="30"/>
          <w:szCs w:val="30"/>
        </w:rPr>
      </w:pPr>
    </w:p>
    <w:p>
      <w:pPr>
        <w:ind w:firstLine="300" w:firstLineChars="100"/>
        <w:rPr>
          <w:rFonts w:ascii="宋体" w:cs="宋体"/>
          <w:bCs/>
          <w:sz w:val="30"/>
          <w:szCs w:val="30"/>
        </w:rPr>
      </w:pPr>
    </w:p>
    <w:p>
      <w:pPr>
        <w:ind w:firstLine="300" w:firstLineChars="100"/>
        <w:rPr>
          <w:rFonts w:ascii="宋体" w:cs="宋体"/>
          <w:bCs/>
          <w:sz w:val="30"/>
          <w:szCs w:val="30"/>
        </w:rPr>
      </w:pPr>
    </w:p>
    <w:p>
      <w:pPr>
        <w:ind w:firstLine="300" w:firstLineChars="100"/>
        <w:rPr>
          <w:rFonts w:ascii="宋体" w:cs="宋体"/>
          <w:bCs/>
          <w:sz w:val="30"/>
          <w:szCs w:val="30"/>
        </w:rPr>
      </w:pPr>
    </w:p>
    <w:p>
      <w:pPr>
        <w:ind w:firstLine="300" w:firstLineChars="100"/>
        <w:rPr>
          <w:rFonts w:ascii="宋体" w:cs="宋体"/>
          <w:bCs/>
          <w:sz w:val="30"/>
          <w:szCs w:val="30"/>
        </w:rPr>
      </w:pPr>
    </w:p>
    <w:p>
      <w:pPr>
        <w:rPr>
          <w:rFonts w:ascii="黑体" w:eastAsia="黑体" w:cs="宋体"/>
          <w:b/>
          <w:sz w:val="32"/>
          <w:szCs w:val="36"/>
        </w:rPr>
      </w:pPr>
      <w:r>
        <w:rPr>
          <w:rFonts w:hint="eastAsia" w:ascii="黑体" w:eastAsia="黑体" w:cs="宋体"/>
          <w:b/>
          <w:sz w:val="32"/>
          <w:szCs w:val="36"/>
        </w:rPr>
        <w:t>附件二： 田径、足球、篮球专项测试方法与评分标准</w:t>
      </w:r>
    </w:p>
    <w:p>
      <w:pPr>
        <w:ind w:firstLine="300" w:firstLineChars="100"/>
        <w:rPr>
          <w:rFonts w:ascii="宋体" w:cs="宋体"/>
          <w:b/>
          <w:sz w:val="30"/>
          <w:szCs w:val="30"/>
        </w:rPr>
      </w:pPr>
      <w:r>
        <w:rPr>
          <w:rFonts w:hint="eastAsia" w:ascii="宋体" w:cs="宋体"/>
          <w:b/>
          <w:sz w:val="30"/>
          <w:szCs w:val="30"/>
        </w:rPr>
        <w:t>一、足球专项考试方法（试行）</w:t>
      </w:r>
    </w:p>
    <w:p>
      <w:pPr>
        <w:pStyle w:val="16"/>
        <w:shd w:val="clear" w:color="auto" w:fill="FFFFFF"/>
        <w:spacing w:before="0" w:beforeAutospacing="0" w:after="0" w:afterAutospacing="0"/>
        <w:ind w:firstLine="280" w:firstLineChars="100"/>
        <w:jc w:val="both"/>
        <w:rPr>
          <w:kern w:val="2"/>
          <w:sz w:val="28"/>
          <w:szCs w:val="28"/>
        </w:rPr>
      </w:pPr>
      <w:r>
        <w:rPr>
          <w:rFonts w:hint="eastAsia"/>
          <w:kern w:val="2"/>
          <w:sz w:val="28"/>
          <w:szCs w:val="28"/>
        </w:rPr>
        <w:t>1、5</w:t>
      </w:r>
      <w:r>
        <w:rPr>
          <w:b/>
          <w:bCs/>
          <w:kern w:val="2"/>
          <w:sz w:val="28"/>
          <w:szCs w:val="28"/>
        </w:rPr>
        <w:t>×25米折返跑</w:t>
      </w:r>
    </w:p>
    <w:p>
      <w:pPr>
        <w:pStyle w:val="16"/>
        <w:shd w:val="clear" w:color="auto" w:fill="FFFFFF"/>
        <w:spacing w:before="0" w:beforeAutospacing="0" w:after="0" w:afterAutospacing="0"/>
        <w:ind w:firstLine="280" w:firstLineChars="100"/>
        <w:jc w:val="both"/>
        <w:rPr>
          <w:kern w:val="2"/>
          <w:sz w:val="28"/>
          <w:szCs w:val="28"/>
        </w:rPr>
      </w:pPr>
      <w:r>
        <w:rPr>
          <w:b/>
          <w:bCs/>
          <w:kern w:val="2"/>
          <w:sz w:val="28"/>
          <w:szCs w:val="28"/>
        </w:rPr>
        <w:t>考试方法：</w:t>
      </w:r>
      <w:r>
        <w:rPr>
          <w:kern w:val="2"/>
          <w:sz w:val="28"/>
          <w:szCs w:val="28"/>
        </w:rPr>
        <w:t>考生从起跑线向场内垂直方向快跑，在跑动中依次用手击倒位于5米、10米、15米、20米和25米各处的标志物后返回起跑线，要求每击倒一个标志物须立即返回一次，再跑到下一个标志物，以此类推。考生应以站立式起跑，脚动开表，完成所有折返距离回到起跑线时停表，记录完成的时间。未击倒标志物，成绩无效。每人测试1次。</w:t>
      </w:r>
    </w:p>
    <w:p>
      <w:pPr>
        <w:pStyle w:val="16"/>
        <w:shd w:val="clear" w:color="auto" w:fill="FFFFFF"/>
        <w:spacing w:before="0" w:beforeAutospacing="0" w:after="0" w:afterAutospacing="0"/>
        <w:jc w:val="both"/>
        <w:rPr>
          <w:kern w:val="2"/>
          <w:sz w:val="28"/>
          <w:szCs w:val="28"/>
        </w:rPr>
      </w:pPr>
      <w:r>
        <w:rPr>
          <w:b/>
          <w:bCs/>
          <w:kern w:val="2"/>
          <w:sz w:val="28"/>
          <w:szCs w:val="28"/>
        </w:rPr>
        <w:t>评分标准：</w:t>
      </w:r>
    </w:p>
    <w:tbl>
      <w:tblPr>
        <w:tblStyle w:val="14"/>
        <w:tblW w:w="1019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3547"/>
        <w:gridCol w:w="1550"/>
        <w:gridCol w:w="3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550"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分值</w:t>
            </w:r>
          </w:p>
        </w:tc>
        <w:tc>
          <w:tcPr>
            <w:tcW w:w="3547"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成绩（秒）</w:t>
            </w:r>
          </w:p>
        </w:tc>
        <w:tc>
          <w:tcPr>
            <w:tcW w:w="1550"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分值</w:t>
            </w:r>
          </w:p>
        </w:tc>
        <w:tc>
          <w:tcPr>
            <w:tcW w:w="3547"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550"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4</w:t>
            </w:r>
            <w:r>
              <w:rPr>
                <w:rFonts w:ascii="Arial" w:hAnsi="Arial" w:cs="Arial"/>
              </w:rPr>
              <w:t>0</w:t>
            </w:r>
          </w:p>
        </w:tc>
        <w:tc>
          <w:tcPr>
            <w:tcW w:w="3547"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3</w:t>
            </w:r>
            <w:r>
              <w:rPr>
                <w:rFonts w:ascii="Arial" w:hAnsi="Arial" w:cs="Arial"/>
              </w:rPr>
              <w:t>4”00</w:t>
            </w:r>
          </w:p>
        </w:tc>
        <w:tc>
          <w:tcPr>
            <w:tcW w:w="1550"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2</w:t>
            </w:r>
            <w:r>
              <w:rPr>
                <w:rFonts w:ascii="Arial" w:hAnsi="Arial" w:cs="Arial"/>
              </w:rPr>
              <w:t>0</w:t>
            </w:r>
          </w:p>
        </w:tc>
        <w:tc>
          <w:tcPr>
            <w:tcW w:w="3547"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3</w:t>
            </w:r>
            <w:r>
              <w:rPr>
                <w:rFonts w:ascii="Arial" w:hAnsi="Arial" w:cs="Arial"/>
              </w:rPr>
              <w:t>5”51~36”00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0"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3</w:t>
            </w:r>
            <w:r>
              <w:rPr>
                <w:rFonts w:ascii="Arial" w:hAnsi="Arial" w:cs="Arial"/>
              </w:rPr>
              <w:t>5</w:t>
            </w:r>
          </w:p>
        </w:tc>
        <w:tc>
          <w:tcPr>
            <w:tcW w:w="3547"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3</w:t>
            </w:r>
            <w:r>
              <w:rPr>
                <w:rFonts w:ascii="Arial" w:hAnsi="Arial" w:cs="Arial"/>
              </w:rPr>
              <w:t>4”01~35”00</w:t>
            </w:r>
          </w:p>
        </w:tc>
        <w:tc>
          <w:tcPr>
            <w:tcW w:w="1550"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1</w:t>
            </w:r>
            <w:r>
              <w:rPr>
                <w:rFonts w:ascii="Arial" w:hAnsi="Arial" w:cs="Arial"/>
              </w:rPr>
              <w:t>5</w:t>
            </w:r>
          </w:p>
        </w:tc>
        <w:tc>
          <w:tcPr>
            <w:tcW w:w="3547"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3</w:t>
            </w:r>
            <w:r>
              <w:rPr>
                <w:rFonts w:ascii="Arial" w:hAnsi="Arial" w:cs="Arial"/>
              </w:rPr>
              <w:t>6”01~36”50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0"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3</w:t>
            </w:r>
            <w:r>
              <w:rPr>
                <w:rFonts w:ascii="Arial" w:hAnsi="Arial" w:cs="Arial"/>
              </w:rPr>
              <w:t>0</w:t>
            </w:r>
          </w:p>
        </w:tc>
        <w:tc>
          <w:tcPr>
            <w:tcW w:w="3547"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3</w:t>
            </w:r>
            <w:r>
              <w:rPr>
                <w:rFonts w:ascii="Arial" w:hAnsi="Arial" w:cs="Arial"/>
              </w:rPr>
              <w:t>5”01~35”50</w:t>
            </w:r>
          </w:p>
        </w:tc>
        <w:tc>
          <w:tcPr>
            <w:tcW w:w="1550"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1</w:t>
            </w:r>
            <w:r>
              <w:rPr>
                <w:rFonts w:ascii="Arial" w:hAnsi="Arial" w:cs="Arial"/>
              </w:rPr>
              <w:t>0</w:t>
            </w:r>
          </w:p>
        </w:tc>
        <w:tc>
          <w:tcPr>
            <w:tcW w:w="3547" w:type="dxa"/>
            <w:shd w:val="clear" w:color="auto" w:fill="auto"/>
          </w:tcPr>
          <w:p>
            <w:pPr>
              <w:pStyle w:val="17"/>
              <w:spacing w:before="151" w:beforeAutospacing="0" w:after="432" w:afterAutospacing="0"/>
              <w:jc w:val="center"/>
              <w:rPr>
                <w:rFonts w:ascii="Arial" w:hAnsi="Arial" w:cs="Arial"/>
              </w:rPr>
            </w:pPr>
            <w:r>
              <w:rPr>
                <w:rFonts w:hint="eastAsia" w:ascii="Arial" w:hAnsi="Arial" w:cs="Arial"/>
              </w:rPr>
              <w:t>3</w:t>
            </w:r>
            <w:r>
              <w:rPr>
                <w:rFonts w:ascii="Arial" w:hAnsi="Arial" w:cs="Arial"/>
              </w:rPr>
              <w:t>6”51~37”00</w:t>
            </w:r>
          </w:p>
        </w:tc>
      </w:tr>
    </w:tbl>
    <w:p>
      <w:pPr>
        <w:ind w:firstLine="280" w:firstLineChars="100"/>
        <w:rPr>
          <w:rFonts w:ascii="宋体" w:cs="宋体"/>
          <w:sz w:val="28"/>
          <w:szCs w:val="28"/>
        </w:rPr>
      </w:pPr>
      <w:r>
        <w:rPr>
          <w:rFonts w:hint="eastAsia" w:ascii="宋体" w:cs="宋体"/>
          <w:sz w:val="28"/>
          <w:szCs w:val="28"/>
        </w:rPr>
        <w:t>2、颠球（10分）</w:t>
      </w:r>
    </w:p>
    <w:p>
      <w:pPr>
        <w:ind w:firstLine="280" w:firstLineChars="100"/>
        <w:rPr>
          <w:rFonts w:ascii="宋体" w:cs="宋体"/>
          <w:sz w:val="28"/>
          <w:szCs w:val="28"/>
        </w:rPr>
      </w:pPr>
      <w:r>
        <w:rPr>
          <w:rFonts w:hint="eastAsia" w:ascii="宋体" w:cs="宋体"/>
          <w:sz w:val="28"/>
          <w:szCs w:val="28"/>
        </w:rPr>
        <w:t>左右脚脚背颠球30个。</w:t>
      </w:r>
    </w:p>
    <w:p>
      <w:pPr>
        <w:ind w:firstLine="280" w:firstLineChars="100"/>
        <w:rPr>
          <w:rFonts w:ascii="宋体" w:cs="宋体"/>
          <w:sz w:val="28"/>
          <w:szCs w:val="28"/>
        </w:rPr>
      </w:pPr>
      <w:r>
        <w:rPr>
          <w:rFonts w:hint="eastAsia" w:ascii="宋体" w:cs="宋体"/>
          <w:sz w:val="28"/>
          <w:szCs w:val="28"/>
        </w:rPr>
        <w:t>3、教学比赛。（50分）</w:t>
      </w:r>
    </w:p>
    <w:p>
      <w:pPr>
        <w:rPr>
          <w:rFonts w:ascii="宋体" w:cs="宋体"/>
          <w:b/>
          <w:sz w:val="30"/>
          <w:szCs w:val="30"/>
        </w:rPr>
      </w:pPr>
    </w:p>
    <w:p>
      <w:pPr>
        <w:ind w:firstLine="300" w:firstLineChars="100"/>
        <w:rPr>
          <w:rFonts w:ascii="宋体" w:cs="宋体"/>
          <w:b/>
          <w:sz w:val="30"/>
          <w:szCs w:val="30"/>
        </w:rPr>
      </w:pPr>
      <w:r>
        <w:rPr>
          <w:rFonts w:hint="eastAsia" w:ascii="宋体" w:cs="宋体"/>
          <w:b/>
          <w:sz w:val="30"/>
          <w:szCs w:val="30"/>
        </w:rPr>
        <w:t>二、篮球专项考试方法</w:t>
      </w:r>
    </w:p>
    <w:p>
      <w:pPr>
        <w:ind w:firstLine="300" w:firstLineChars="100"/>
        <w:rPr>
          <w:rFonts w:ascii="宋体" w:cs="宋体"/>
          <w:bCs/>
          <w:sz w:val="30"/>
          <w:szCs w:val="30"/>
        </w:rPr>
      </w:pPr>
      <w:r>
        <w:rPr>
          <w:rFonts w:hint="eastAsia" w:ascii="宋体" w:cs="宋体"/>
          <w:bCs/>
          <w:sz w:val="30"/>
          <w:szCs w:val="30"/>
        </w:rPr>
        <w:t>1、全场快速运球上篮（25分）</w:t>
      </w:r>
    </w:p>
    <w:p>
      <w:pPr>
        <w:ind w:firstLine="600" w:firstLineChars="200"/>
        <w:rPr>
          <w:rFonts w:ascii="宋体" w:cs="宋体"/>
          <w:bCs/>
          <w:sz w:val="30"/>
          <w:szCs w:val="30"/>
        </w:rPr>
      </w:pPr>
      <w:r>
        <w:rPr>
          <w:rFonts w:hint="eastAsia" w:ascii="宋体" w:cs="宋体"/>
          <w:bCs/>
          <w:sz w:val="30"/>
          <w:szCs w:val="30"/>
        </w:rPr>
        <w:t>考试方法：考生从底线开始运球，跑出立即开表计时。进行三个来回的全场运球上篮，在全过程必须按照篮球规则进行，每一个上篮要求必须投中（可补篮）。考生回到与出发同一底线时即停表。</w:t>
      </w:r>
    </w:p>
    <w:p>
      <w:pPr>
        <w:ind w:firstLine="300" w:firstLineChars="100"/>
        <w:rPr>
          <w:rFonts w:ascii="宋体" w:cs="宋体"/>
          <w:bCs/>
          <w:sz w:val="30"/>
          <w:szCs w:val="30"/>
        </w:rPr>
      </w:pPr>
      <w:r>
        <w:rPr>
          <w:rFonts w:hint="eastAsia" w:ascii="宋体" w:cs="宋体"/>
          <w:bCs/>
          <w:sz w:val="30"/>
          <w:szCs w:val="30"/>
        </w:rPr>
        <w:t>2、五点投篮（25分）</w:t>
      </w:r>
    </w:p>
    <w:p>
      <w:pPr>
        <w:ind w:firstLine="560" w:firstLineChars="200"/>
        <w:rPr>
          <w:rFonts w:ascii="宋体" w:cs="宋体"/>
          <w:bCs/>
          <w:sz w:val="30"/>
          <w:szCs w:val="30"/>
        </w:rPr>
      </w:pPr>
      <w:r>
        <w:rPr>
          <w:rFonts w:hint="eastAsia" w:ascii="宋体" w:hAnsi="宋体" w:cs="宋体"/>
          <w:sz w:val="28"/>
          <w:szCs w:val="28"/>
        </w:rPr>
        <w:drawing>
          <wp:anchor distT="0" distB="0" distL="114300" distR="114300" simplePos="0" relativeHeight="251659264" behindDoc="0" locked="0" layoutInCell="1" allowOverlap="1">
            <wp:simplePos x="0" y="0"/>
            <wp:positionH relativeFrom="column">
              <wp:posOffset>1813560</wp:posOffset>
            </wp:positionH>
            <wp:positionV relativeFrom="paragraph">
              <wp:posOffset>1200785</wp:posOffset>
            </wp:positionV>
            <wp:extent cx="2682240" cy="1405890"/>
            <wp:effectExtent l="0" t="0" r="3810" b="381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682240" cy="1405890"/>
                    </a:xfrm>
                    <a:prstGeom prst="rect">
                      <a:avLst/>
                    </a:prstGeom>
                    <a:noFill/>
                    <a:ln>
                      <a:noFill/>
                    </a:ln>
                    <a:effectLst/>
                  </pic:spPr>
                </pic:pic>
              </a:graphicData>
            </a:graphic>
          </wp:anchor>
        </w:drawing>
      </w:r>
      <w:r>
        <w:rPr>
          <w:rFonts w:hint="eastAsia" w:ascii="宋体" w:cs="宋体"/>
          <w:bCs/>
          <w:sz w:val="30"/>
          <w:szCs w:val="30"/>
        </w:rPr>
        <w:t>考试方法：1、2、3号位考生在三分线外进行五个点的投篮，每一个点各投5个。4、5号位考生在以底线中点为圆心，以底线到罚球线距离4.2米为半径的半圆外进行五个点的投篮（必须跳投，否则无效），每一个点各投5个。</w:t>
      </w:r>
    </w:p>
    <w:p>
      <w:pPr>
        <w:ind w:firstLine="300" w:firstLineChars="100"/>
        <w:rPr>
          <w:rFonts w:ascii="宋体" w:cs="宋体"/>
          <w:bCs/>
          <w:sz w:val="30"/>
          <w:szCs w:val="30"/>
        </w:rPr>
      </w:pPr>
      <w:r>
        <w:rPr>
          <w:rFonts w:hint="eastAsia" w:ascii="宋体" w:cs="宋体"/>
          <w:bCs/>
          <w:sz w:val="30"/>
          <w:szCs w:val="30"/>
        </w:rPr>
        <w:t>3、教学比赛（50分）</w:t>
      </w:r>
    </w:p>
    <w:p>
      <w:pPr>
        <w:rPr>
          <w:rFonts w:ascii="宋体" w:cs="宋体"/>
          <w:b/>
          <w:sz w:val="30"/>
          <w:szCs w:val="30"/>
          <w:highlight w:val="lightGray"/>
        </w:rPr>
      </w:pPr>
    </w:p>
    <w:p>
      <w:pPr>
        <w:ind w:firstLine="300" w:firstLineChars="100"/>
        <w:rPr>
          <w:rFonts w:ascii="宋体" w:cs="宋体"/>
          <w:b/>
          <w:sz w:val="30"/>
          <w:szCs w:val="30"/>
        </w:rPr>
      </w:pPr>
      <w:r>
        <w:rPr>
          <w:rFonts w:hint="eastAsia" w:ascii="宋体" w:cs="宋体"/>
          <w:b/>
          <w:sz w:val="30"/>
          <w:szCs w:val="30"/>
          <w:highlight w:val="lightGray"/>
        </w:rPr>
        <w:t>三、</w:t>
      </w:r>
      <w:r>
        <w:rPr>
          <w:rFonts w:hint="eastAsia" w:ascii="宋体" w:cs="宋体"/>
          <w:b/>
          <w:sz w:val="30"/>
          <w:szCs w:val="30"/>
        </w:rPr>
        <w:t>田径专项考试方法（试行）</w:t>
      </w:r>
    </w:p>
    <w:p>
      <w:pPr>
        <w:ind w:firstLine="280" w:firstLineChars="100"/>
        <w:rPr>
          <w:rFonts w:ascii="宋体" w:cs="宋体"/>
          <w:bCs/>
          <w:sz w:val="28"/>
          <w:szCs w:val="28"/>
        </w:rPr>
      </w:pPr>
      <w:r>
        <w:rPr>
          <w:rFonts w:hint="eastAsia" w:ascii="宋体" w:cs="宋体"/>
          <w:bCs/>
          <w:sz w:val="28"/>
          <w:szCs w:val="28"/>
        </w:rPr>
        <w:t>1、测试内容</w:t>
      </w:r>
    </w:p>
    <w:p>
      <w:pPr>
        <w:rPr>
          <w:rFonts w:ascii="宋体" w:cs="宋体"/>
          <w:sz w:val="28"/>
          <w:szCs w:val="28"/>
        </w:rPr>
      </w:pPr>
      <w:r>
        <w:rPr>
          <w:rFonts w:hint="eastAsia" w:ascii="宋体" w:cs="宋体"/>
          <w:sz w:val="28"/>
          <w:szCs w:val="28"/>
        </w:rPr>
        <w:t>男生：100米、200米、400米、800米、1500米、110米栏（栏高0.914米，栏距9.14米）、标枪（700g）、铅球（5kg）、跳高、跳远、三级跳远</w:t>
      </w:r>
    </w:p>
    <w:p>
      <w:pPr>
        <w:rPr>
          <w:rFonts w:ascii="宋体" w:cs="宋体"/>
          <w:sz w:val="28"/>
          <w:szCs w:val="28"/>
        </w:rPr>
      </w:pPr>
      <w:r>
        <w:rPr>
          <w:rFonts w:hint="eastAsia" w:ascii="宋体" w:cs="宋体"/>
          <w:sz w:val="28"/>
          <w:szCs w:val="28"/>
        </w:rPr>
        <w:t>女生：100米、200米、400米、800米、1500米、100米栏（栏高0.840米，栏距8.50米）、标枪(600g)、铅球（4kg）、跳高、跳远、三级跳远</w:t>
      </w:r>
    </w:p>
    <w:p>
      <w:pPr>
        <w:ind w:firstLine="280" w:firstLineChars="100"/>
        <w:rPr>
          <w:rFonts w:ascii="宋体" w:cs="宋体"/>
          <w:sz w:val="28"/>
          <w:szCs w:val="28"/>
        </w:rPr>
      </w:pPr>
      <w:r>
        <w:rPr>
          <w:rFonts w:hint="eastAsia" w:ascii="宋体" w:cs="宋体"/>
          <w:sz w:val="28"/>
          <w:szCs w:val="28"/>
        </w:rPr>
        <w:t>2、综合评价方法</w:t>
      </w:r>
    </w:p>
    <w:p>
      <w:pPr>
        <w:ind w:firstLine="280" w:firstLineChars="100"/>
        <w:rPr>
          <w:rFonts w:ascii="宋体" w:cs="宋体"/>
          <w:sz w:val="28"/>
          <w:szCs w:val="28"/>
        </w:rPr>
      </w:pPr>
      <w:r>
        <w:rPr>
          <w:rFonts w:hint="eastAsia" w:ascii="宋体" w:cs="宋体"/>
          <w:sz w:val="28"/>
          <w:szCs w:val="28"/>
        </w:rPr>
        <w:t>1）考生根据个人特长选一个项目进行测试</w:t>
      </w:r>
    </w:p>
    <w:p>
      <w:pPr>
        <w:ind w:firstLine="280" w:firstLineChars="100"/>
        <w:rPr>
          <w:rFonts w:ascii="宋体" w:cs="宋体"/>
          <w:sz w:val="28"/>
          <w:szCs w:val="28"/>
        </w:rPr>
      </w:pPr>
      <w:r>
        <w:rPr>
          <w:rFonts w:ascii="宋体" w:cs="宋体"/>
          <w:sz w:val="28"/>
          <w:szCs w:val="28"/>
        </w:rPr>
        <w:t>2</w:t>
      </w:r>
      <w:r>
        <w:rPr>
          <w:rFonts w:hint="eastAsia" w:ascii="宋体" w:cs="宋体"/>
          <w:sz w:val="28"/>
          <w:szCs w:val="28"/>
        </w:rPr>
        <w:t>）执行最新田径竞赛规则和裁判方法</w:t>
      </w:r>
    </w:p>
    <w:p>
      <w:pPr>
        <w:ind w:firstLine="280" w:firstLineChars="100"/>
        <w:rPr>
          <w:rFonts w:ascii="宋体" w:cs="宋体"/>
          <w:sz w:val="28"/>
          <w:szCs w:val="28"/>
        </w:rPr>
      </w:pPr>
      <w:r>
        <w:rPr>
          <w:rFonts w:ascii="宋体" w:cs="宋体"/>
          <w:sz w:val="28"/>
          <w:szCs w:val="28"/>
        </w:rPr>
        <w:t>3</w:t>
      </w:r>
      <w:r>
        <w:rPr>
          <w:rFonts w:hint="eastAsia" w:ascii="宋体" w:cs="宋体"/>
          <w:sz w:val="28"/>
          <w:szCs w:val="28"/>
        </w:rPr>
        <w:t>）径赛项目在塑胶跑道上进行，成绩以手动计时为准，只进行一个赛次比赛</w:t>
      </w:r>
    </w:p>
    <w:p>
      <w:pPr>
        <w:ind w:firstLine="280" w:firstLineChars="100"/>
        <w:rPr>
          <w:rFonts w:ascii="宋体" w:cs="宋体"/>
          <w:sz w:val="28"/>
          <w:szCs w:val="28"/>
        </w:rPr>
      </w:pPr>
      <w:r>
        <w:rPr>
          <w:rFonts w:hint="eastAsia" w:ascii="宋体" w:cs="宋体"/>
          <w:sz w:val="28"/>
          <w:szCs w:val="28"/>
        </w:rPr>
        <w:t>4）田赛项目按照田赛项目比赛办法进行</w:t>
      </w:r>
    </w:p>
    <w:p>
      <w:pPr>
        <w:ind w:firstLine="280" w:firstLineChars="100"/>
        <w:rPr>
          <w:rFonts w:ascii="宋体" w:cs="宋体"/>
          <w:sz w:val="28"/>
          <w:szCs w:val="28"/>
        </w:rPr>
      </w:pPr>
      <w:r>
        <w:rPr>
          <w:rFonts w:hint="eastAsia" w:ascii="宋体" w:cs="宋体"/>
          <w:sz w:val="28"/>
          <w:szCs w:val="28"/>
        </w:rPr>
        <w:t>5）测试成绩不足60分的考生将不录取。</w:t>
      </w:r>
    </w:p>
    <w:p>
      <w:pPr>
        <w:ind w:firstLine="280" w:firstLineChars="100"/>
        <w:rPr>
          <w:rFonts w:ascii="宋体" w:cs="宋体"/>
          <w:sz w:val="28"/>
          <w:szCs w:val="28"/>
        </w:rPr>
      </w:pPr>
      <w:r>
        <w:rPr>
          <w:rFonts w:hint="eastAsia" w:ascii="宋体" w:cs="宋体"/>
          <w:sz w:val="28"/>
          <w:szCs w:val="28"/>
        </w:rPr>
        <w:t>6）评分标准如下</w:t>
      </w:r>
    </w:p>
    <w:tbl>
      <w:tblPr>
        <w:tblStyle w:val="14"/>
        <w:tblW w:w="9806" w:type="dxa"/>
        <w:jc w:val="center"/>
        <w:tblInd w:w="0" w:type="dxa"/>
        <w:tblLayout w:type="fixed"/>
        <w:tblCellMar>
          <w:top w:w="0" w:type="dxa"/>
          <w:left w:w="108" w:type="dxa"/>
          <w:bottom w:w="0" w:type="dxa"/>
          <w:right w:w="108" w:type="dxa"/>
        </w:tblCellMar>
      </w:tblPr>
      <w:tblGrid>
        <w:gridCol w:w="631"/>
        <w:gridCol w:w="753"/>
        <w:gridCol w:w="768"/>
        <w:gridCol w:w="762"/>
        <w:gridCol w:w="862"/>
        <w:gridCol w:w="895"/>
        <w:gridCol w:w="880"/>
        <w:gridCol w:w="969"/>
        <w:gridCol w:w="709"/>
        <w:gridCol w:w="709"/>
        <w:gridCol w:w="934"/>
        <w:gridCol w:w="934"/>
      </w:tblGrid>
      <w:tr>
        <w:tblPrEx>
          <w:tblLayout w:type="fixed"/>
        </w:tblPrEx>
        <w:trPr>
          <w:trHeight w:val="340" w:hRule="atLeast"/>
          <w:jc w:val="center"/>
        </w:trPr>
        <w:tc>
          <w:tcPr>
            <w:tcW w:w="8872" w:type="dxa"/>
            <w:gridSpan w:val="11"/>
            <w:tcBorders>
              <w:top w:val="single" w:color="auto" w:sz="4" w:space="0"/>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佛山市第二中学体育特长生田径评价标准（男子）</w:t>
            </w:r>
          </w:p>
        </w:tc>
        <w:tc>
          <w:tcPr>
            <w:tcW w:w="934" w:type="dxa"/>
            <w:vMerge w:val="restart"/>
            <w:tcBorders>
              <w:top w:val="single" w:color="auto" w:sz="4" w:space="0"/>
              <w:left w:val="single" w:color="auto" w:sz="4" w:space="0"/>
              <w:bottom w:val="nil"/>
              <w:right w:val="single" w:color="auto" w:sz="4" w:space="0"/>
            </w:tcBorders>
          </w:tcPr>
          <w:p>
            <w:pPr>
              <w:widowControl/>
              <w:adjustRightInd w:val="0"/>
              <w:spacing w:line="560" w:lineRule="exact"/>
              <w:jc w:val="center"/>
              <w:rPr>
                <w:rFonts w:ascii="宋体" w:cs="宋体"/>
                <w:kern w:val="0"/>
                <w:sz w:val="18"/>
                <w:szCs w:val="18"/>
              </w:rPr>
            </w:pPr>
          </w:p>
        </w:tc>
      </w:tr>
      <w:tr>
        <w:tblPrEx>
          <w:tblLayout w:type="fixed"/>
          <w:tblCellMar>
            <w:top w:w="0" w:type="dxa"/>
            <w:left w:w="108" w:type="dxa"/>
            <w:bottom w:w="0" w:type="dxa"/>
            <w:right w:w="108" w:type="dxa"/>
          </w:tblCellMar>
        </w:tblPrEx>
        <w:trPr>
          <w:trHeight w:val="340" w:hRule="atLeast"/>
          <w:jc w:val="center"/>
        </w:trPr>
        <w:tc>
          <w:tcPr>
            <w:tcW w:w="631" w:type="dxa"/>
            <w:vMerge w:val="restart"/>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分值</w:t>
            </w:r>
          </w:p>
        </w:tc>
        <w:tc>
          <w:tcPr>
            <w:tcW w:w="8241" w:type="dxa"/>
            <w:gridSpan w:val="10"/>
            <w:tcBorders>
              <w:top w:val="single" w:color="auto" w:sz="4" w:space="0"/>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项  目</w:t>
            </w:r>
          </w:p>
        </w:tc>
        <w:tc>
          <w:tcPr>
            <w:tcW w:w="934" w:type="dxa"/>
            <w:vMerge w:val="continue"/>
            <w:tcBorders>
              <w:top w:val="nil"/>
              <w:left w:val="single" w:color="auto" w:sz="4" w:space="0"/>
              <w:bottom w:val="single" w:color="auto" w:sz="4" w:space="0"/>
              <w:right w:val="single" w:color="auto" w:sz="4" w:space="0"/>
            </w:tcBorders>
          </w:tcPr>
          <w:p/>
        </w:tc>
      </w:tr>
      <w:tr>
        <w:tblPrEx>
          <w:tblLayout w:type="fixed"/>
          <w:tblCellMar>
            <w:top w:w="0" w:type="dxa"/>
            <w:left w:w="108" w:type="dxa"/>
            <w:bottom w:w="0" w:type="dxa"/>
            <w:right w:w="108" w:type="dxa"/>
          </w:tblCellMar>
        </w:tblPrEx>
        <w:trPr>
          <w:trHeight w:val="340" w:hRule="atLeast"/>
          <w:jc w:val="center"/>
        </w:trPr>
        <w:tc>
          <w:tcPr>
            <w:tcW w:w="631" w:type="dxa"/>
            <w:vMerge w:val="continue"/>
            <w:tcBorders>
              <w:top w:val="nil"/>
              <w:left w:val="single" w:color="auto" w:sz="4" w:space="0"/>
              <w:bottom w:val="single" w:color="auto" w:sz="4" w:space="0"/>
              <w:right w:val="single" w:color="auto" w:sz="4" w:space="0"/>
            </w:tcBorders>
            <w:vAlign w:val="center"/>
          </w:tcP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100米</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200米</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400米</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800米</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1500米</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110米栏</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标枪</w:t>
            </w:r>
          </w:p>
          <w:p>
            <w:pPr>
              <w:widowControl/>
              <w:adjustRightInd w:val="0"/>
              <w:spacing w:line="560" w:lineRule="exact"/>
              <w:jc w:val="center"/>
              <w:rPr>
                <w:rFonts w:ascii="宋体" w:cs="宋体"/>
                <w:kern w:val="0"/>
                <w:sz w:val="18"/>
                <w:szCs w:val="18"/>
              </w:rPr>
            </w:pPr>
            <w:r>
              <w:rPr>
                <w:rFonts w:hint="eastAsia" w:ascii="宋体" w:cs="宋体"/>
                <w:kern w:val="0"/>
                <w:sz w:val="18"/>
                <w:szCs w:val="18"/>
              </w:rPr>
              <w:t>（米）</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跳高（米）</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跳远（米）</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三级</w:t>
            </w:r>
          </w:p>
          <w:p>
            <w:pPr>
              <w:widowControl/>
              <w:adjustRightInd w:val="0"/>
              <w:spacing w:line="560" w:lineRule="exact"/>
              <w:jc w:val="center"/>
              <w:rPr>
                <w:rFonts w:ascii="宋体" w:cs="宋体"/>
                <w:kern w:val="0"/>
                <w:sz w:val="18"/>
                <w:szCs w:val="18"/>
              </w:rPr>
            </w:pPr>
            <w:r>
              <w:rPr>
                <w:rFonts w:hint="eastAsia" w:ascii="宋体" w:cs="宋体"/>
                <w:kern w:val="0"/>
                <w:sz w:val="18"/>
                <w:szCs w:val="18"/>
              </w:rPr>
              <w:t>跳远（米）</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铅球</w:t>
            </w:r>
          </w:p>
          <w:p>
            <w:pPr>
              <w:widowControl/>
              <w:adjustRightInd w:val="0"/>
              <w:spacing w:line="560" w:lineRule="exact"/>
              <w:jc w:val="center"/>
              <w:rPr>
                <w:rFonts w:ascii="宋体" w:cs="宋体"/>
                <w:kern w:val="0"/>
                <w:sz w:val="18"/>
                <w:szCs w:val="18"/>
              </w:rPr>
            </w:pPr>
            <w:r>
              <w:rPr>
                <w:rFonts w:hint="eastAsia" w:ascii="宋体" w:cs="宋体"/>
                <w:kern w:val="0"/>
                <w:sz w:val="18"/>
                <w:szCs w:val="18"/>
              </w:rPr>
              <w:t>（米）</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100</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11.54</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23.44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52.24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2.03.0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4.15.0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15.84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43</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1.83</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6.50</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13.60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12.5</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99</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11.56</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23.49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52.34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2.03.3</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4.15.8</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15.89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42.7</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6.48</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13.55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12.4</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98</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11.58</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23.54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52.44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2.03.6</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4.16.6</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15.94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42.4</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1.82</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6.46</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13.50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12.3</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97</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11.60</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23.59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52.54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2.03.9</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4.17.4</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15.99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42.1</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6.44</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13.45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12.2</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96</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11.62</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23.64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52.64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2.04.2</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4.18.2</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16.04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41.8</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1.81</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6.42</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13.40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12.1</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95</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11.64</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23.69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52.74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2.04.5</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4.19.0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16.09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41.5</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6.40</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13.35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12</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94</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11.66</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23.74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52.84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2.04.8</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4.19.8</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16.14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41.2</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1.80</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6.38</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13.30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11.9</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93</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11.68</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23.79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52.94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2.05.1</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4.20.6</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16.19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40.9</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6.36</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13.25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11.8</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92</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11.70</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23.84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53.04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2.05.4</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4.21.4</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16.24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40.6</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1.79</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6.34</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13.20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11.7</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91</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11.73</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23.89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53.14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2.05.7</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4.22.2</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16.29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40.3</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6.32</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13.15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11.6</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90</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11.76</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23.94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53.24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2.06.0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4.23.0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16.34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40</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1.78</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6.30</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13.10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11.5</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89</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11.79</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23.99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53.34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2.06.4</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4.23.8</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16.39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39.7</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6.28</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13.05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11.4</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88</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11.82</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24.04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53.44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2.06.8</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4.24.6</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16.44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39.4</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1.77</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6.26</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13.00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11.3</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87</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11.85</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24.09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53.54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2.07.2</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4.25.4</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16.49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39.1</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6.24</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12.95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11.2</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86</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11.88</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24.14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53.64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2.07.6</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4.26.2</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16.54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38.8</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1.76</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6.22</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12.90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11.1</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85</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11.91</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24.19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53.74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2.08.0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4.27.0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16.59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38.5</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6.20</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12.85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11</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84</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11.94</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24.24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53.84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2.08.4</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4.27.8</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16.64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38.2</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1.75</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6.18</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12.80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10.9</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83</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11.97</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24.29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54.04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2.08.8</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4.28.6</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16.69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37.9</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6.16</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12.75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10.8</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82</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12.00</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24.34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54.24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2.09.2</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4.29.4</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16.74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37.6</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1.74</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6.14</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12.70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10.7</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81</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12.04</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24.39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54.44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2.09.6</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4.30.2</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16.79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37.3</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6.12</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12.65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10.6</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80</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12.08</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24.44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54.64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2.10.0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4.31.0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16.84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37.0</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1.73</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6.10</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12.60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10.5</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79</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12.12</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24.49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54.84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2.10.5</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4.32.0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16.89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36.7</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6.08</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12.55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10.4</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78</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12.16</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24.54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55.04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2.11.0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4.33.0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16.94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36.4</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1.72</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6.06</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12.50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10.3</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77</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12.20</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24.59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55.24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2.11.5</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4.34.0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16.99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36.1</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6.04</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12.45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10.2</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76</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12.24</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24.64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55.44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2.12.0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4.35.0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17.04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35.8</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1.71</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6.02</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12.40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10.1</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75</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12.28</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24.69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55.64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2.12.5</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4.36.0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17.09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35.5</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6.00</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12.35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10</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74</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12.32</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24.74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55.84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2.13.0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4.37.0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17.14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35.2</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1.70</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5.98</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12.30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9.9</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73</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12.36</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24.79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56.04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2.13.5</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4.38.0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17.19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34.9</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5.96</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12.25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9.8</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72</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12.40</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24.84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56.24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2.14.0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4.39.0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17.24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34.6</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1.69</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5.94</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12.20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9.7</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71</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12.44</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24.89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56.44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2.14.5</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4.40.0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17.29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34.3</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5.92</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12.15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9.6</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70</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12.48</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24.94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56.64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2.15.0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4.41.0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17.34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34</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1.68</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5.90</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12.10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9.5</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69</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12.52</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24.99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56.84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2.15.5</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4.42.0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17.39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33.7</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5.88</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12.05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9.3</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68</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12.56</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25.04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57.04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2.16.0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4.43.0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17.44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33.4</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1.67</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5.86</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12.00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9.1</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67</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12.60</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25.09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57.24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2.16.5</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4.44.0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17.49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33.1</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5.84</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11.95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8.9</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66</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12.64</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25.14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57.44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2.17.0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4.45.0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17.54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32.8</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1.66</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5.82</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11.90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8.7</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65</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12.68</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25.19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57.64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2.17.5</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4.46.0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17.59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32.5</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5.80</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11.85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8.5</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64</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12.72</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25.24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57.84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2.18.0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4.47.0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17.64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32.2</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1.65</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5.78</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11.80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8.3</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63</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12.76</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25.29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58.04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2.18.5</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4.48.0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17.69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31.9</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5.76</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11.75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8.1</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62</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12.80</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25.34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58.24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2.19.0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4.49.0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17.74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31.6</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1.64</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5.74</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11.70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7.9</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61</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12.84</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25.39</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58.44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2.19.5</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4.50.0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17.79</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31.3</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5.72</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11.65</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7.7</w:t>
            </w:r>
          </w:p>
        </w:tc>
      </w:tr>
      <w:tr>
        <w:tblPrEx>
          <w:tblLayout w:type="fixed"/>
          <w:tblCellMar>
            <w:top w:w="0" w:type="dxa"/>
            <w:left w:w="108" w:type="dxa"/>
            <w:bottom w:w="0" w:type="dxa"/>
            <w:right w:w="108" w:type="dxa"/>
          </w:tblCellMar>
        </w:tblPrEx>
        <w:trPr>
          <w:trHeight w:val="340" w:hRule="atLeast"/>
          <w:jc w:val="center"/>
        </w:trPr>
        <w:tc>
          <w:tcPr>
            <w:tcW w:w="631"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60</w:t>
            </w:r>
          </w:p>
        </w:tc>
        <w:tc>
          <w:tcPr>
            <w:tcW w:w="753"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12.88</w:t>
            </w:r>
          </w:p>
        </w:tc>
        <w:tc>
          <w:tcPr>
            <w:tcW w:w="768"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25.44</w:t>
            </w:r>
          </w:p>
        </w:tc>
        <w:tc>
          <w:tcPr>
            <w:tcW w:w="7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58.64</w:t>
            </w:r>
          </w:p>
        </w:tc>
        <w:tc>
          <w:tcPr>
            <w:tcW w:w="862"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2.20.0</w:t>
            </w:r>
          </w:p>
        </w:tc>
        <w:tc>
          <w:tcPr>
            <w:tcW w:w="895"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4.51.0</w:t>
            </w:r>
          </w:p>
        </w:tc>
        <w:tc>
          <w:tcPr>
            <w:tcW w:w="880"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17.84</w:t>
            </w:r>
          </w:p>
        </w:tc>
        <w:tc>
          <w:tcPr>
            <w:tcW w:w="96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31</w:t>
            </w:r>
          </w:p>
        </w:tc>
        <w:tc>
          <w:tcPr>
            <w:tcW w:w="709" w:type="dxa"/>
            <w:tcBorders>
              <w:top w:val="nil"/>
              <w:left w:val="nil"/>
              <w:bottom w:val="single" w:color="auto" w:sz="4" w:space="0"/>
              <w:right w:val="single" w:color="auto" w:sz="4" w:space="0"/>
            </w:tcBorders>
            <w:vAlign w:val="center"/>
          </w:tcPr>
          <w:p>
            <w:pPr>
              <w:adjustRightInd w:val="0"/>
              <w:spacing w:line="560" w:lineRule="exact"/>
              <w:jc w:val="center"/>
              <w:rPr>
                <w:rFonts w:ascii="宋体" w:cs="宋体"/>
                <w:kern w:val="0"/>
                <w:sz w:val="18"/>
                <w:szCs w:val="18"/>
              </w:rPr>
            </w:pPr>
            <w:r>
              <w:rPr>
                <w:rFonts w:hint="eastAsia" w:ascii="宋体" w:cs="宋体"/>
                <w:kern w:val="0"/>
                <w:sz w:val="18"/>
                <w:szCs w:val="18"/>
              </w:rPr>
              <w:t>1.63</w:t>
            </w:r>
          </w:p>
        </w:tc>
        <w:tc>
          <w:tcPr>
            <w:tcW w:w="709"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5.70</w:t>
            </w:r>
          </w:p>
        </w:tc>
        <w:tc>
          <w:tcPr>
            <w:tcW w:w="934" w:type="dxa"/>
            <w:tcBorders>
              <w:top w:val="nil"/>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11.60</w:t>
            </w:r>
          </w:p>
        </w:tc>
        <w:tc>
          <w:tcPr>
            <w:tcW w:w="934" w:type="dxa"/>
            <w:tcBorders>
              <w:top w:val="nil"/>
              <w:left w:val="nil"/>
              <w:bottom w:val="single" w:color="auto" w:sz="4" w:space="0"/>
              <w:right w:val="single" w:color="auto" w:sz="4" w:space="0"/>
            </w:tcBorders>
          </w:tcPr>
          <w:p>
            <w:pPr>
              <w:widowControl/>
              <w:adjustRightInd w:val="0"/>
              <w:spacing w:line="560" w:lineRule="exact"/>
              <w:jc w:val="center"/>
              <w:rPr>
                <w:rFonts w:ascii="宋体" w:cs="宋体"/>
                <w:kern w:val="0"/>
                <w:sz w:val="18"/>
                <w:szCs w:val="18"/>
              </w:rPr>
            </w:pPr>
            <w:r>
              <w:rPr>
                <w:rFonts w:hint="eastAsia" w:ascii="宋体" w:cs="宋体"/>
                <w:kern w:val="0"/>
                <w:sz w:val="18"/>
                <w:szCs w:val="18"/>
              </w:rPr>
              <w:t>7.5</w:t>
            </w:r>
          </w:p>
        </w:tc>
      </w:tr>
      <w:tr>
        <w:tblPrEx>
          <w:tblLayout w:type="fixed"/>
          <w:tblCellMar>
            <w:top w:w="0" w:type="dxa"/>
            <w:left w:w="108" w:type="dxa"/>
            <w:bottom w:w="0" w:type="dxa"/>
            <w:right w:w="108" w:type="dxa"/>
          </w:tblCellMar>
        </w:tblPrEx>
        <w:trPr>
          <w:trHeight w:val="340" w:hRule="atLeast"/>
          <w:jc w:val="center"/>
        </w:trPr>
        <w:tc>
          <w:tcPr>
            <w:tcW w:w="9806" w:type="dxa"/>
            <w:gridSpan w:val="12"/>
            <w:tcBorders>
              <w:top w:val="single" w:color="auto" w:sz="4" w:space="0"/>
              <w:left w:val="single" w:color="auto" w:sz="4" w:space="0"/>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男子:110米栏，栏高0.914厘米，栏距9.14米。</w:t>
            </w:r>
          </w:p>
        </w:tc>
      </w:tr>
    </w:tbl>
    <w:p>
      <w:pPr>
        <w:rPr>
          <w:rFonts w:ascii="宋体" w:cs="宋体"/>
          <w:sz w:val="28"/>
          <w:szCs w:val="28"/>
        </w:rPr>
      </w:pPr>
    </w:p>
    <w:tbl>
      <w:tblPr>
        <w:tblStyle w:val="14"/>
        <w:tblW w:w="9748" w:type="dxa"/>
        <w:jc w:val="center"/>
        <w:tblInd w:w="0" w:type="dxa"/>
        <w:tblLayout w:type="fixed"/>
        <w:tblCellMar>
          <w:top w:w="0" w:type="dxa"/>
          <w:left w:w="108" w:type="dxa"/>
          <w:bottom w:w="0" w:type="dxa"/>
          <w:right w:w="108" w:type="dxa"/>
        </w:tblCellMar>
      </w:tblPr>
      <w:tblGrid>
        <w:gridCol w:w="558"/>
        <w:gridCol w:w="765"/>
        <w:gridCol w:w="766"/>
        <w:gridCol w:w="985"/>
        <w:gridCol w:w="875"/>
        <w:gridCol w:w="889"/>
        <w:gridCol w:w="799"/>
        <w:gridCol w:w="850"/>
        <w:gridCol w:w="851"/>
        <w:gridCol w:w="708"/>
        <w:gridCol w:w="851"/>
        <w:gridCol w:w="851"/>
      </w:tblGrid>
      <w:tr>
        <w:tblPrEx>
          <w:tblLayout w:type="fixed"/>
          <w:tblCellMar>
            <w:top w:w="0" w:type="dxa"/>
            <w:left w:w="108" w:type="dxa"/>
            <w:bottom w:w="0" w:type="dxa"/>
            <w:right w:w="108" w:type="dxa"/>
          </w:tblCellMar>
        </w:tblPrEx>
        <w:trPr>
          <w:trHeight w:val="340" w:hRule="atLeast"/>
          <w:jc w:val="center"/>
        </w:trPr>
        <w:tc>
          <w:tcPr>
            <w:tcW w:w="8897" w:type="dxa"/>
            <w:gridSpan w:val="11"/>
            <w:tcBorders>
              <w:top w:val="single" w:color="auto" w:sz="4" w:space="0"/>
              <w:left w:val="single" w:color="auto" w:sz="4" w:space="0"/>
              <w:bottom w:val="single" w:color="auto" w:sz="4" w:space="0"/>
              <w:right w:val="single" w:color="auto" w:sz="4" w:space="0"/>
            </w:tcBorders>
            <w:vAlign w:val="center"/>
          </w:tcPr>
          <w:p>
            <w:pPr>
              <w:widowControl/>
              <w:adjustRightInd w:val="0"/>
              <w:spacing w:line="560" w:lineRule="exact"/>
              <w:ind w:firstLine="2520" w:firstLineChars="1400"/>
              <w:rPr>
                <w:rFonts w:ascii="宋体" w:cs="宋体"/>
                <w:kern w:val="0"/>
                <w:sz w:val="18"/>
                <w:szCs w:val="18"/>
              </w:rPr>
            </w:pPr>
            <w:r>
              <w:rPr>
                <w:rFonts w:hint="eastAsia" w:ascii="宋体" w:cs="宋体"/>
                <w:kern w:val="0"/>
                <w:sz w:val="18"/>
                <w:szCs w:val="18"/>
              </w:rPr>
              <w:t>佛山市第二中学体育特长生田径评价标准（女子）</w:t>
            </w:r>
          </w:p>
        </w:tc>
        <w:tc>
          <w:tcPr>
            <w:tcW w:w="851" w:type="dxa"/>
            <w:vMerge w:val="restart"/>
            <w:tcBorders>
              <w:top w:val="single" w:color="auto" w:sz="4" w:space="0"/>
              <w:left w:val="single" w:color="auto" w:sz="4" w:space="0"/>
              <w:bottom w:val="nil"/>
              <w:right w:val="single" w:color="auto" w:sz="4" w:space="0"/>
            </w:tcBorders>
          </w:tcPr>
          <w:p>
            <w:pPr>
              <w:widowControl/>
              <w:adjustRightInd w:val="0"/>
              <w:spacing w:line="560" w:lineRule="exact"/>
              <w:ind w:firstLine="2520" w:firstLineChars="1400"/>
              <w:rPr>
                <w:rFonts w:ascii="宋体" w:cs="宋体"/>
                <w:kern w:val="0"/>
                <w:sz w:val="18"/>
                <w:szCs w:val="18"/>
              </w:rPr>
            </w:pPr>
          </w:p>
        </w:tc>
      </w:tr>
      <w:tr>
        <w:tblPrEx>
          <w:tblLayout w:type="fixed"/>
          <w:tblCellMar>
            <w:top w:w="0" w:type="dxa"/>
            <w:left w:w="108" w:type="dxa"/>
            <w:bottom w:w="0" w:type="dxa"/>
            <w:right w:w="108" w:type="dxa"/>
          </w:tblCellMar>
        </w:tblPrEx>
        <w:trPr>
          <w:trHeight w:val="340" w:hRule="atLeast"/>
          <w:jc w:val="center"/>
        </w:trPr>
        <w:tc>
          <w:tcPr>
            <w:tcW w:w="558" w:type="dxa"/>
            <w:vMerge w:val="restart"/>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分值</w:t>
            </w:r>
          </w:p>
        </w:tc>
        <w:tc>
          <w:tcPr>
            <w:tcW w:w="8339" w:type="dxa"/>
            <w:gridSpan w:val="10"/>
            <w:tcBorders>
              <w:top w:val="single" w:color="auto" w:sz="4" w:space="0"/>
              <w:left w:val="nil"/>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项  目</w:t>
            </w:r>
          </w:p>
        </w:tc>
        <w:tc>
          <w:tcPr>
            <w:tcW w:w="851" w:type="dxa"/>
            <w:vMerge w:val="continue"/>
            <w:tcBorders>
              <w:top w:val="nil"/>
              <w:left w:val="single" w:color="auto" w:sz="4" w:space="0"/>
              <w:bottom w:val="single" w:color="auto" w:sz="4" w:space="0"/>
              <w:right w:val="single" w:color="auto" w:sz="4" w:space="0"/>
            </w:tcBorders>
          </w:tcPr>
          <w:p/>
        </w:tc>
      </w:tr>
      <w:tr>
        <w:tblPrEx>
          <w:tblLayout w:type="fixed"/>
          <w:tblCellMar>
            <w:top w:w="0" w:type="dxa"/>
            <w:left w:w="108" w:type="dxa"/>
            <w:bottom w:w="0" w:type="dxa"/>
            <w:right w:w="108" w:type="dxa"/>
          </w:tblCellMar>
        </w:tblPrEx>
        <w:trPr>
          <w:trHeight w:val="340" w:hRule="atLeast"/>
          <w:jc w:val="center"/>
        </w:trPr>
        <w:tc>
          <w:tcPr>
            <w:tcW w:w="558" w:type="dxa"/>
            <w:vMerge w:val="continue"/>
            <w:tcBorders>
              <w:top w:val="nil"/>
              <w:left w:val="single" w:color="auto" w:sz="4" w:space="0"/>
              <w:bottom w:val="single" w:color="auto" w:sz="4" w:space="0"/>
              <w:right w:val="single" w:color="auto" w:sz="4" w:space="0"/>
            </w:tcBorders>
            <w:vAlign w:val="center"/>
          </w:tcP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100米</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200米</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400米</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800米</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1500米</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100米栏</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标枪</w:t>
            </w:r>
          </w:p>
          <w:p>
            <w:pPr>
              <w:widowControl/>
              <w:adjustRightInd w:val="0"/>
              <w:spacing w:line="560" w:lineRule="exact"/>
              <w:jc w:val="left"/>
              <w:rPr>
                <w:rFonts w:ascii="宋体" w:cs="宋体"/>
                <w:kern w:val="0"/>
                <w:sz w:val="18"/>
                <w:szCs w:val="18"/>
              </w:rPr>
            </w:pPr>
            <w:r>
              <w:rPr>
                <w:rFonts w:hint="eastAsia" w:ascii="宋体" w:cs="宋体"/>
                <w:kern w:val="0"/>
                <w:sz w:val="18"/>
                <w:szCs w:val="18"/>
              </w:rPr>
              <w:t>（米）</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跳高（米）</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跳远（米）</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三级</w:t>
            </w:r>
          </w:p>
          <w:p>
            <w:pPr>
              <w:widowControl/>
              <w:adjustRightInd w:val="0"/>
              <w:spacing w:line="560" w:lineRule="exact"/>
              <w:jc w:val="left"/>
              <w:rPr>
                <w:rFonts w:ascii="宋体" w:cs="宋体"/>
                <w:kern w:val="0"/>
                <w:sz w:val="18"/>
                <w:szCs w:val="18"/>
              </w:rPr>
            </w:pPr>
            <w:r>
              <w:rPr>
                <w:rFonts w:hint="eastAsia" w:ascii="宋体" w:cs="宋体"/>
                <w:kern w:val="0"/>
                <w:sz w:val="18"/>
                <w:szCs w:val="18"/>
              </w:rPr>
              <w:t>跳远（米）</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铅球</w:t>
            </w:r>
          </w:p>
          <w:p>
            <w:pPr>
              <w:widowControl/>
              <w:adjustRightInd w:val="0"/>
              <w:spacing w:line="560" w:lineRule="exact"/>
              <w:jc w:val="left"/>
              <w:rPr>
                <w:rFonts w:ascii="宋体" w:cs="宋体"/>
                <w:kern w:val="0"/>
                <w:sz w:val="18"/>
                <w:szCs w:val="18"/>
              </w:rPr>
            </w:pPr>
            <w:r>
              <w:rPr>
                <w:rFonts w:hint="eastAsia" w:ascii="宋体" w:cs="宋体"/>
                <w:kern w:val="0"/>
                <w:sz w:val="18"/>
                <w:szCs w:val="18"/>
              </w:rPr>
              <w:t>（米）</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100</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12.84</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26.94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1.01.74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2.24.0</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5.05.0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15.74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32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1.56</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5.20</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11.20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10</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99</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12.86</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26.99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1.01.94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2.24.4</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5.06.0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15.79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31.8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　</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11.15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9.9</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98</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12.88</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27.04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1.02.14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2.24.8</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5.07.0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15.84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31.6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1.55</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11.10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9.8</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97</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12.90</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27.09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1.02.34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2.25.2</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5.08.0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15.89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31.4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　</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11.05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9.7</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96</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12.92</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27.14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1.02.54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2.25.6</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5.09.0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15.94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31.2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1.54</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11.00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9.6</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95</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12.94</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27.19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1.02.74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2.26.0</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5.10.0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15.99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31</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　</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5.10</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10.95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9.5</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94</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12.96</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27.24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1.02.94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2.26.4</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5.11.0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16.04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30.8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1.53</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5.08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10.90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9.4</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93</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12.98</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27.29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1.03.14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2.26.8</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5.12.0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16.09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30.6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　</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5.06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10.85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9.3</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92</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13.00</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27.34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1.03.34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2.27.2</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5.13.0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16.14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30.4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1.52</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5.04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10.80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9.2</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91</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13.03</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27.39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1.03.54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2.27.6</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5.14.0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16.19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30.2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　</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5.02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10.75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9.1</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90</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13.06</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27.44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1.03.74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2.28.0</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5.15.0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16.24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30</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1.51</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5.00</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10.70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9</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89</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13.09</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27.49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1.03.94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2.28.4</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5.16.0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16.29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29.8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　</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4.98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10.65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8.9</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88</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13.12</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27.54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1.04.14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2.28.8</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5.17.0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16.34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29.6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1.50</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4.96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10.60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8.8</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87</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13.15</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27.59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1.04.34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2.29.2</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5.18.0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16.39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29.4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　</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4.94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10.55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8.7</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86</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13.18</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27.64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1.04.54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2.29.6</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5.19.0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16.44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29.2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1.49</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4.92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10.50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8.6</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85</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13.21</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27.69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1.04.74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2.30.0</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5.20.0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16.49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29</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　</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4.90</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10.45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8.5</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84</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13.24</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27.74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1.04.94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2.30.4</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5.21.0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16.54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1.48</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4.88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10.40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8.4</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83</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13.27</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27.79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1.05.14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2.30.8</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5.22.0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16.59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　</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4.86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10.35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8.3</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82</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13.30</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27.84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1.05.34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2.31.2</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5.23.0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16.64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1.47</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4.84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10.30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8.2</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81</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13.34</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27.89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1.05.54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2.31.6</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5.24.0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16.69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4.82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10.25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8.1</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80</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13.38</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27.94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1.05.74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2.32.0</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5.25.0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16.74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1.46</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4.80</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10.20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8</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79</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13.42</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27.99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1.05.94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2.32.4</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5.26.0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16.79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4.78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10.15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7.9</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78</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13.46</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28.04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1.06.14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2.32.8</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5.27.0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16.84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1.45</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4.76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10.10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7.8</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77</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13.50</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28.09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1.06.34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2.33.2</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5.28.0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16.89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4.74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10.05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7.7</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76</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13.54</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28.14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1.06.54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2.33.6</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5.29.0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16.94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1.44</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4.72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10.00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7.6</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75</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13.58</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28.19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1.06.74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2.34.0</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5.30.0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16.99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27</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4.70</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9.95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7.5</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74</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13.62</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28.24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1.06.94</w:t>
            </w:r>
          </w:p>
        </w:tc>
        <w:tc>
          <w:tcPr>
            <w:tcW w:w="875" w:type="dxa"/>
            <w:tcBorders>
              <w:top w:val="single" w:color="auto" w:sz="4" w:space="0"/>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2.34.4</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5.31.0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17.04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26.8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1.43</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4.68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9.90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7.4</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73</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13.66</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28.29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1.07.14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2.34.8</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5.32.0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17.09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26.6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4.66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9.85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7.3</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72</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13.70</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28.34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1.07.34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2.35.2</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5.33.0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17.14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26.4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1.42</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4.64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9.80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7.2</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71</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13.74</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28.39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1.07.54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2.35.6</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5.34.0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17.19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26.2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4.62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9.75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7.1</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70</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13.78</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28.44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1.07.74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2.36.0</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5.35.0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17.24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1.41</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4.60</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9.70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7</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69</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13.82</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28.49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1.07.94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2.36.6</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5.36.0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17.29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25.7</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4.58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9.65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6.9</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68</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13.86</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28.54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1.08.14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2.37.2</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5.37.0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17.34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25.4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1.40</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4.56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9.60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6.8</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67</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13.90</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28.59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1.08.34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2.37.8</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5.38.0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17.39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25.1</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4.54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9.55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6.7</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66</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13.94</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28.64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1.08.54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2.38.4</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5.39.0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17.44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24.8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1.39</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4.52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9.50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6.6</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65</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13.98</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28.69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1.08.74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2.39.0</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5.40.0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17.49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24.5</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4.50</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9.45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6.5</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64</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14.02</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28.74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1.08.94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2.39.6</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5.41.0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17.54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24.2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1.38</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4.48</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9.40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6.4</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63</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14.06</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28.79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1.09.14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2.40.2</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5.42.0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17.59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23.9</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4.46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9.35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6.3</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62</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14.10</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28.84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1.09.34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2.40.8</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5.43.0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17.64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23.6</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1.37</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4.44</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9.30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6.2</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61</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14.14</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28.89</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1.09.54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2.41.4</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5.44.0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17.69</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23.3</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4.42</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9.25</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6.1</w:t>
            </w:r>
          </w:p>
        </w:tc>
      </w:tr>
      <w:tr>
        <w:tblPrEx>
          <w:tblLayout w:type="fixed"/>
          <w:tblCellMar>
            <w:top w:w="0" w:type="dxa"/>
            <w:left w:w="108" w:type="dxa"/>
            <w:bottom w:w="0" w:type="dxa"/>
            <w:right w:w="108" w:type="dxa"/>
          </w:tblCellMar>
        </w:tblPrEx>
        <w:trPr>
          <w:trHeight w:val="340" w:hRule="atLeast"/>
          <w:jc w:val="center"/>
        </w:trPr>
        <w:tc>
          <w:tcPr>
            <w:tcW w:w="558" w:type="dxa"/>
            <w:tcBorders>
              <w:top w:val="nil"/>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60</w:t>
            </w:r>
          </w:p>
        </w:tc>
        <w:tc>
          <w:tcPr>
            <w:tcW w:w="76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14.18</w:t>
            </w:r>
          </w:p>
        </w:tc>
        <w:tc>
          <w:tcPr>
            <w:tcW w:w="766"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28.94</w:t>
            </w:r>
          </w:p>
        </w:tc>
        <w:tc>
          <w:tcPr>
            <w:tcW w:w="98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1.09.74</w:t>
            </w:r>
          </w:p>
        </w:tc>
        <w:tc>
          <w:tcPr>
            <w:tcW w:w="875"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2.42.0</w:t>
            </w:r>
          </w:p>
        </w:tc>
        <w:tc>
          <w:tcPr>
            <w:tcW w:w="88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5.45.0</w:t>
            </w:r>
          </w:p>
        </w:tc>
        <w:tc>
          <w:tcPr>
            <w:tcW w:w="799"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17.74</w:t>
            </w:r>
          </w:p>
        </w:tc>
        <w:tc>
          <w:tcPr>
            <w:tcW w:w="850"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23</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1.36</w:t>
            </w:r>
          </w:p>
        </w:tc>
        <w:tc>
          <w:tcPr>
            <w:tcW w:w="708"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4.40</w:t>
            </w:r>
          </w:p>
        </w:tc>
        <w:tc>
          <w:tcPr>
            <w:tcW w:w="851" w:type="dxa"/>
            <w:tcBorders>
              <w:top w:val="nil"/>
              <w:left w:val="nil"/>
              <w:bottom w:val="single" w:color="auto" w:sz="4" w:space="0"/>
              <w:right w:val="single" w:color="auto" w:sz="4" w:space="0"/>
            </w:tcBorders>
            <w:vAlign w:val="center"/>
          </w:tcPr>
          <w:p>
            <w:pPr>
              <w:widowControl/>
              <w:adjustRightInd w:val="0"/>
              <w:spacing w:line="560" w:lineRule="exact"/>
              <w:jc w:val="left"/>
              <w:rPr>
                <w:rFonts w:ascii="宋体" w:cs="宋体"/>
                <w:kern w:val="0"/>
                <w:sz w:val="18"/>
                <w:szCs w:val="18"/>
              </w:rPr>
            </w:pPr>
            <w:r>
              <w:rPr>
                <w:rFonts w:hint="eastAsia" w:ascii="宋体" w:cs="宋体"/>
                <w:kern w:val="0"/>
                <w:sz w:val="18"/>
                <w:szCs w:val="18"/>
              </w:rPr>
              <w:t>9.20</w:t>
            </w:r>
          </w:p>
        </w:tc>
        <w:tc>
          <w:tcPr>
            <w:tcW w:w="851" w:type="dxa"/>
            <w:tcBorders>
              <w:top w:val="nil"/>
              <w:left w:val="nil"/>
              <w:bottom w:val="single" w:color="auto" w:sz="4" w:space="0"/>
              <w:right w:val="single" w:color="auto" w:sz="4" w:space="0"/>
            </w:tcBorders>
          </w:tcPr>
          <w:p>
            <w:pPr>
              <w:widowControl/>
              <w:adjustRightInd w:val="0"/>
              <w:spacing w:line="560" w:lineRule="exact"/>
              <w:jc w:val="left"/>
              <w:rPr>
                <w:rFonts w:ascii="宋体" w:cs="宋体"/>
                <w:kern w:val="0"/>
                <w:sz w:val="18"/>
                <w:szCs w:val="18"/>
              </w:rPr>
            </w:pPr>
            <w:r>
              <w:rPr>
                <w:rFonts w:hint="eastAsia" w:ascii="宋体" w:cs="宋体"/>
                <w:kern w:val="0"/>
                <w:sz w:val="18"/>
                <w:szCs w:val="18"/>
              </w:rPr>
              <w:t>6</w:t>
            </w:r>
          </w:p>
        </w:tc>
      </w:tr>
      <w:tr>
        <w:tblPrEx>
          <w:tblLayout w:type="fixed"/>
          <w:tblCellMar>
            <w:top w:w="0" w:type="dxa"/>
            <w:left w:w="108" w:type="dxa"/>
            <w:bottom w:w="0" w:type="dxa"/>
            <w:right w:w="108" w:type="dxa"/>
          </w:tblCellMar>
        </w:tblPrEx>
        <w:trPr>
          <w:trHeight w:val="340" w:hRule="atLeast"/>
          <w:jc w:val="center"/>
        </w:trPr>
        <w:tc>
          <w:tcPr>
            <w:tcW w:w="8897" w:type="dxa"/>
            <w:gridSpan w:val="11"/>
            <w:tcBorders>
              <w:top w:val="single" w:color="auto" w:sz="4" w:space="0"/>
              <w:left w:val="single" w:color="auto" w:sz="4" w:space="0"/>
              <w:bottom w:val="single" w:color="auto" w:sz="4" w:space="0"/>
              <w:right w:val="single" w:color="auto" w:sz="4" w:space="0"/>
            </w:tcBorders>
            <w:vAlign w:val="center"/>
          </w:tcPr>
          <w:p>
            <w:pPr>
              <w:widowControl/>
              <w:adjustRightInd w:val="0"/>
              <w:spacing w:line="560" w:lineRule="exact"/>
              <w:jc w:val="center"/>
              <w:rPr>
                <w:rFonts w:ascii="宋体" w:cs="宋体"/>
                <w:kern w:val="0"/>
                <w:sz w:val="18"/>
                <w:szCs w:val="18"/>
              </w:rPr>
            </w:pPr>
            <w:r>
              <w:rPr>
                <w:rFonts w:hint="eastAsia" w:ascii="宋体" w:cs="宋体"/>
                <w:kern w:val="0"/>
                <w:sz w:val="18"/>
                <w:szCs w:val="18"/>
              </w:rPr>
              <w:t>女子：100米栏，栏高0.84厘米，栏距8.50米。</w:t>
            </w:r>
          </w:p>
        </w:tc>
        <w:tc>
          <w:tcPr>
            <w:tcW w:w="851" w:type="dxa"/>
            <w:tcBorders>
              <w:top w:val="single" w:color="auto" w:sz="4" w:space="0"/>
              <w:left w:val="single" w:color="auto" w:sz="4" w:space="0"/>
              <w:bottom w:val="single" w:color="auto" w:sz="4" w:space="0"/>
              <w:right w:val="single" w:color="auto" w:sz="4" w:space="0"/>
            </w:tcBorders>
          </w:tcPr>
          <w:p>
            <w:pPr>
              <w:widowControl/>
              <w:adjustRightInd w:val="0"/>
              <w:spacing w:line="560" w:lineRule="exact"/>
              <w:jc w:val="center"/>
              <w:rPr>
                <w:rFonts w:ascii="宋体" w:cs="宋体"/>
                <w:kern w:val="0"/>
                <w:sz w:val="18"/>
                <w:szCs w:val="18"/>
              </w:rPr>
            </w:pPr>
          </w:p>
        </w:tc>
      </w:tr>
    </w:tbl>
    <w:p>
      <w:pPr>
        <w:rPr>
          <w:rFonts w:ascii="宋体" w:cs="宋体"/>
          <w:sz w:val="28"/>
          <w:szCs w:val="28"/>
        </w:rPr>
      </w:pPr>
    </w:p>
    <w:sectPr>
      <w:headerReference r:id="rId3" w:type="default"/>
      <w:footerReference r:id="rId4" w:type="default"/>
      <w:pgSz w:w="11906" w:h="16838"/>
      <w:pgMar w:top="777" w:right="851" w:bottom="936" w:left="851"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Luxi Sans">
    <w:altName w:val="Calibri"/>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283" w:usb1="288F0000" w:usb2="00000006" w:usb3="00000000" w:csb0="00040001" w:csb1="00000000"/>
  </w:font>
  <w:font w:name="Segoe UI Emoji">
    <w:panose1 w:val="020B0502040204020203"/>
    <w:charset w:val="00"/>
    <w:family w:val="swiss"/>
    <w:pitch w:val="default"/>
    <w:sig w:usb0="00000001" w:usb1="02000000" w:usb2="00000000" w:usb3="00000000" w:csb0="00000001" w:csb1="00000000"/>
  </w:font>
  <w:font w:name="MS Mincho">
    <w:altName w:val="Yu Gothic UI"/>
    <w:panose1 w:val="02020609040205080304"/>
    <w:charset w:val="80"/>
    <w:family w:val="modern"/>
    <w:pitch w:val="default"/>
    <w:sig w:usb0="00000000" w:usb1="00000000" w:usb2="00000010" w:usb3="00000000" w:csb0="4002009F" w:csb1="DFD7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2</w:t>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2FB"/>
    <w:rsid w:val="00092137"/>
    <w:rsid w:val="000B5810"/>
    <w:rsid w:val="000C14A9"/>
    <w:rsid w:val="000D0D96"/>
    <w:rsid w:val="000E2DCB"/>
    <w:rsid w:val="00127FDE"/>
    <w:rsid w:val="001416C5"/>
    <w:rsid w:val="001D12D9"/>
    <w:rsid w:val="00235FC2"/>
    <w:rsid w:val="00262ABA"/>
    <w:rsid w:val="002702AF"/>
    <w:rsid w:val="0027499F"/>
    <w:rsid w:val="0029008F"/>
    <w:rsid w:val="002944D8"/>
    <w:rsid w:val="002C3C51"/>
    <w:rsid w:val="002F36A5"/>
    <w:rsid w:val="003354C4"/>
    <w:rsid w:val="003432EB"/>
    <w:rsid w:val="00346BB4"/>
    <w:rsid w:val="00353BC5"/>
    <w:rsid w:val="003A3E11"/>
    <w:rsid w:val="003F0235"/>
    <w:rsid w:val="004067F5"/>
    <w:rsid w:val="00507C76"/>
    <w:rsid w:val="005604CA"/>
    <w:rsid w:val="005A1815"/>
    <w:rsid w:val="005B22FB"/>
    <w:rsid w:val="005D62FC"/>
    <w:rsid w:val="00627C49"/>
    <w:rsid w:val="006C3AC6"/>
    <w:rsid w:val="0070403E"/>
    <w:rsid w:val="00734643"/>
    <w:rsid w:val="007645F1"/>
    <w:rsid w:val="00772BFD"/>
    <w:rsid w:val="0077742D"/>
    <w:rsid w:val="007E5A3B"/>
    <w:rsid w:val="00845E93"/>
    <w:rsid w:val="00895F82"/>
    <w:rsid w:val="008A48BE"/>
    <w:rsid w:val="008C2C7D"/>
    <w:rsid w:val="008E73A7"/>
    <w:rsid w:val="008E7D44"/>
    <w:rsid w:val="00957568"/>
    <w:rsid w:val="009A3C64"/>
    <w:rsid w:val="009C5C31"/>
    <w:rsid w:val="009E6136"/>
    <w:rsid w:val="00A0091C"/>
    <w:rsid w:val="00BB2D05"/>
    <w:rsid w:val="00BB5DEA"/>
    <w:rsid w:val="00BE7D2D"/>
    <w:rsid w:val="00C056CF"/>
    <w:rsid w:val="00C21D7D"/>
    <w:rsid w:val="00C554B2"/>
    <w:rsid w:val="00D82FB6"/>
    <w:rsid w:val="00D86A43"/>
    <w:rsid w:val="00DC2E28"/>
    <w:rsid w:val="00DE469C"/>
    <w:rsid w:val="00E30C1F"/>
    <w:rsid w:val="00E42B33"/>
    <w:rsid w:val="00E44843"/>
    <w:rsid w:val="00E52701"/>
    <w:rsid w:val="00E54BF6"/>
    <w:rsid w:val="00EB0A58"/>
    <w:rsid w:val="0A341100"/>
    <w:rsid w:val="2E5E301B"/>
    <w:rsid w:val="32D61D28"/>
    <w:rsid w:val="40E94650"/>
    <w:rsid w:val="67700674"/>
    <w:rsid w:val="73BC1E1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rPr>
  </w:style>
  <w:style w:type="paragraph" w:styleId="3">
    <w:name w:val="heading 2"/>
    <w:basedOn w:val="1"/>
    <w:next w:val="1"/>
    <w:unhideWhenUsed/>
    <w:qFormat/>
    <w:uiPriority w:val="9"/>
    <w:pPr>
      <w:keepNext/>
      <w:keepLines/>
      <w:spacing w:before="260" w:after="260" w:line="415" w:lineRule="auto"/>
      <w:outlineLvl w:val="1"/>
    </w:pPr>
    <w:rPr>
      <w:rFonts w:ascii="Luxi Sans" w:hAnsi="Luxi Sans" w:eastAsia="黑体"/>
      <w:b/>
      <w:sz w:val="32"/>
    </w:rPr>
  </w:style>
  <w:style w:type="paragraph" w:styleId="4">
    <w:name w:val="heading 3"/>
    <w:basedOn w:val="1"/>
    <w:next w:val="1"/>
    <w:unhideWhenUsed/>
    <w:qFormat/>
    <w:uiPriority w:val="9"/>
    <w:pPr>
      <w:keepNext/>
      <w:keepLines/>
      <w:spacing w:before="260" w:after="260" w:line="415" w:lineRule="auto"/>
      <w:outlineLvl w:val="2"/>
    </w:pPr>
    <w:rPr>
      <w:b/>
      <w:sz w:val="32"/>
    </w:rPr>
  </w:style>
  <w:style w:type="character" w:default="1" w:styleId="10">
    <w:name w:val="Default Paragraph Font"/>
    <w:unhideWhenUsed/>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Date"/>
    <w:basedOn w:val="1"/>
    <w:next w:val="1"/>
    <w:qFormat/>
    <w:uiPriority w:val="0"/>
    <w:pPr>
      <w:ind w:left="2500" w:leftChars="2500"/>
    </w:p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character" w:styleId="12">
    <w:name w:val="FollowedHyperlink"/>
    <w:qFormat/>
    <w:uiPriority w:val="0"/>
    <w:rPr>
      <w:color w:val="954F72"/>
      <w:u w:val="single"/>
    </w:rPr>
  </w:style>
  <w:style w:type="character" w:styleId="13">
    <w:name w:val="Hyperlink"/>
    <w:uiPriority w:val="0"/>
    <w:rPr>
      <w:color w:val="0000FF"/>
      <w:u w:val="single"/>
    </w:rPr>
  </w:style>
  <w:style w:type="paragraph" w:customStyle="1" w:styleId="15">
    <w:name w:val="Char Char1 Char Char Char Char Char Char Char"/>
    <w:basedOn w:val="1"/>
    <w:qFormat/>
    <w:uiPriority w:val="0"/>
    <w:pPr>
      <w:widowControl/>
      <w:spacing w:after="160" w:line="240" w:lineRule="exact"/>
      <w:jc w:val="left"/>
    </w:pPr>
  </w:style>
  <w:style w:type="paragraph" w:customStyle="1" w:styleId="16">
    <w:name w:val="ql-align-justify"/>
    <w:basedOn w:val="1"/>
    <w:qFormat/>
    <w:uiPriority w:val="0"/>
    <w:pPr>
      <w:widowControl/>
      <w:spacing w:before="100" w:beforeAutospacing="1" w:after="100" w:afterAutospacing="1"/>
      <w:jc w:val="left"/>
    </w:pPr>
    <w:rPr>
      <w:rFonts w:ascii="宋体" w:cs="宋体"/>
      <w:kern w:val="0"/>
      <w:sz w:val="24"/>
    </w:rPr>
  </w:style>
  <w:style w:type="paragraph" w:customStyle="1" w:styleId="17">
    <w:name w:val="ql-align-center"/>
    <w:basedOn w:val="1"/>
    <w:qFormat/>
    <w:uiPriority w:val="0"/>
    <w:pPr>
      <w:widowControl/>
      <w:spacing w:before="100" w:beforeAutospacing="1" w:after="100" w:afterAutospacing="1"/>
      <w:jc w:val="left"/>
    </w:pPr>
    <w:rPr>
      <w:rFonts w:ascii="宋体" w:cs="宋体"/>
      <w:kern w:val="0"/>
      <w:sz w:val="24"/>
    </w:rPr>
  </w:style>
  <w:style w:type="paragraph" w:customStyle="1" w:styleId="18">
    <w:name w:val="Table Paragraph"/>
    <w:basedOn w:val="1"/>
    <w:qFormat/>
    <w:uiPriority w:val="0"/>
    <w:pPr>
      <w:autoSpaceDE w:val="0"/>
      <w:autoSpaceDN w:val="0"/>
      <w:jc w:val="left"/>
    </w:pPr>
    <w:rPr>
      <w:rFonts w:ascii="宋体" w:cs="宋体"/>
      <w:kern w:val="0"/>
      <w:sz w:val="22"/>
      <w:szCs w:val="22"/>
      <w:lang w:val="zh-CN" w:bidi="zh-CN"/>
    </w:rPr>
  </w:style>
  <w:style w:type="character" w:customStyle="1" w:styleId="19">
    <w:name w:val="未处理的提及1"/>
    <w:qFormat/>
    <w:uiPriority w:val="0"/>
    <w:rPr>
      <w:color w:val="605E5C"/>
      <w:shd w:val="clear" w:color="auto" w:fill="E1DFDD"/>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佛山二中</Company>
  <Pages>13</Pages>
  <Words>1770</Words>
  <Characters>10091</Characters>
  <Lines>84</Lines>
  <Paragraphs>23</Paragraphs>
  <ScaleCrop>false</ScaleCrop>
  <LinksUpToDate>false</LinksUpToDate>
  <CharactersWithSpaces>11838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2024-04-11T01:53:00Z</dcterms:created>
  <dc:creator>佛山二中</dc:creator>
  <cp:lastModifiedBy>Deba</cp:lastModifiedBy>
  <cp:lastPrinted>2018-03-26T02:08:00Z</cp:lastPrinted>
  <dcterms:modified xsi:type="dcterms:W3CDTF">2024-04-27T10:51:26Z</dcterms:modified>
  <dc:title>佛山市第二中学2011年体尖生招生工作方案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925AA89C68D748338E5966980C10EB1C</vt:lpwstr>
  </property>
</Properties>
</file>