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hint="eastAsia" w:ascii="方正小标宋简体" w:hAnsi="宋体" w:eastAsia="方正小标宋简体"/>
          <w:sz w:val="44"/>
          <w:szCs w:val="44"/>
        </w:rPr>
      </w:pPr>
      <w:r>
        <w:rPr>
          <w:rFonts w:hint="eastAsia" w:ascii="方正小标宋简体" w:hAnsi="宋体" w:eastAsia="方正小标宋简体"/>
          <w:sz w:val="44"/>
          <w:szCs w:val="44"/>
        </w:rPr>
        <w:t>佛山市</w:t>
      </w:r>
      <w:r>
        <w:rPr>
          <w:rFonts w:hint="eastAsia" w:ascii="方正小标宋简体" w:hAnsi="宋体" w:eastAsia="方正小标宋简体"/>
          <w:sz w:val="44"/>
          <w:szCs w:val="44"/>
          <w:lang w:eastAsia="zh-CN"/>
        </w:rPr>
        <w:t>第一</w:t>
      </w:r>
      <w:r>
        <w:rPr>
          <w:rFonts w:hint="eastAsia" w:ascii="方正小标宋简体" w:hAnsi="宋体" w:eastAsia="方正小标宋简体"/>
          <w:sz w:val="44"/>
          <w:szCs w:val="44"/>
        </w:rPr>
        <w:t>中学2024年</w:t>
      </w:r>
      <w:r>
        <w:rPr>
          <w:rFonts w:hint="eastAsia" w:ascii="方正小标宋简体" w:hAnsi="宋体" w:eastAsia="方正小标宋简体"/>
          <w:sz w:val="44"/>
          <w:szCs w:val="44"/>
          <w:lang w:val="en-US" w:eastAsia="zh-CN"/>
        </w:rPr>
        <w:t>自主</w:t>
      </w:r>
      <w:r>
        <w:rPr>
          <w:rFonts w:hint="eastAsia" w:ascii="方正小标宋简体" w:hAnsi="宋体" w:eastAsia="方正小标宋简体"/>
          <w:sz w:val="44"/>
          <w:szCs w:val="44"/>
        </w:rPr>
        <w:t>招生方案</w:t>
      </w:r>
    </w:p>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佛山市第一中学创办于1913年，是首批广东省重点中学、广东省国家级示范性高中、广东省教学水平评估优秀学校、广东省心理健康教育特色学校、全国足球特色学校、全国篮球特色学校，被教育部授予“艺术教育先进单位”称号。历经百年流变，始终禀承“追求卓越，造就栋梁”的办学目标，坚持“规范与个性共存，科学与人文并举”，“办自由而有序的教育”，“活教活学，广育人才”，培养了一大批特长突出、综合素质高、可持续发展能力强的精英人才。2023年，佛山一中入选佛山市普通高中多样化有特色发展“双高”行动高水平特色创建项目学校。</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根据《佛山市教育局关于做好2024年普通高中自主招生工作的通知》(佛山教招〔2024〕9号)文件精神，我校自主招收一批具有拔尖创新潜质的学生，进行专门化培养。</w:t>
      </w:r>
    </w:p>
    <w:p>
      <w:pPr>
        <w:numPr>
          <w:ilvl w:val="0"/>
          <w:numId w:val="1"/>
        </w:numPr>
        <w:spacing w:line="240" w:lineRule="auto"/>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rPr>
        <w:t>招生计划</w:t>
      </w:r>
    </w:p>
    <w:p>
      <w:pPr>
        <w:spacing w:line="240" w:lineRule="auto"/>
        <w:ind w:firstLine="640" w:firstLineChars="200"/>
        <w:rPr>
          <w:rFonts w:hint="default"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招收具有拔尖创新潜质的学生100名。</w:t>
      </w:r>
    </w:p>
    <w:p>
      <w:pPr>
        <w:numPr>
          <w:ilvl w:val="0"/>
          <w:numId w:val="0"/>
        </w:numPr>
        <w:spacing w:line="240" w:lineRule="auto"/>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二、</w:t>
      </w:r>
      <w:r>
        <w:rPr>
          <w:rFonts w:hint="eastAsia" w:ascii="黑体" w:hAnsi="黑体" w:eastAsia="黑体" w:cs="黑体"/>
          <w:color w:val="000000"/>
          <w:sz w:val="32"/>
          <w:szCs w:val="32"/>
        </w:rPr>
        <w:t>报名条件</w:t>
      </w:r>
      <w:r>
        <w:rPr>
          <w:rFonts w:hint="eastAsia" w:ascii="黑体" w:hAnsi="黑体" w:eastAsia="黑体" w:cs="黑体"/>
          <w:color w:val="000000"/>
          <w:sz w:val="32"/>
          <w:szCs w:val="32"/>
          <w:lang w:val="en-US" w:eastAsia="zh-CN"/>
        </w:rPr>
        <w:t>和方法</w:t>
      </w:r>
    </w:p>
    <w:p>
      <w:pPr>
        <w:spacing w:line="240" w:lineRule="auto"/>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（一）报名资格</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1.佛山市五区初中应届毕业生（含在我市初中学校就读以及在外地就读返回我市参加中考的学生）均可报名，非本市户籍的普通借读生也可大胆报考。</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2.综合素质优秀，学科特长突出，具备创新潜质，具有健康体魄、健全人格、远大志向和社会责任感，满足下列条件之一：</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（1）初中学业成绩特别优秀，参加初三级联考或区统考综合成绩优异的学生。</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（2）在数理方面有特长，在数学、物理、化学、生物学或信息学等学科学习取得优异成绩的学生。</w:t>
      </w:r>
    </w:p>
    <w:p>
      <w:pPr>
        <w:numPr>
          <w:ilvl w:val="0"/>
          <w:numId w:val="0"/>
        </w:numPr>
        <w:spacing w:line="240" w:lineRule="auto"/>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w:t>
      </w:r>
      <w:r>
        <w:rPr>
          <w:rFonts w:hint="eastAsia" w:ascii="楷体" w:hAnsi="楷体" w:eastAsia="楷体" w:cs="楷体"/>
          <w:b/>
          <w:bCs/>
          <w:sz w:val="32"/>
          <w:szCs w:val="32"/>
          <w:lang w:val="en-US" w:eastAsia="zh-CN"/>
        </w:rPr>
        <w:t>报名方式</w:t>
      </w:r>
    </w:p>
    <w:p>
      <w:pPr>
        <w:spacing w:line="240" w:lineRule="auto"/>
        <w:ind w:firstLine="643" w:firstLineChars="200"/>
        <w:rPr>
          <w:rFonts w:hint="eastAsia" w:ascii="楷体_GB2312" w:eastAsia="楷体_GB2312"/>
          <w:b/>
          <w:bCs w:val="0"/>
          <w:sz w:val="32"/>
          <w:szCs w:val="32"/>
          <w:lang w:val="en-US" w:eastAsia="zh-CN"/>
        </w:rPr>
      </w:pPr>
      <w:r>
        <w:rPr>
          <w:rFonts w:hint="eastAsia" w:ascii="楷体_GB2312" w:eastAsia="楷体_GB2312"/>
          <w:b/>
          <w:bCs w:val="0"/>
          <w:sz w:val="32"/>
          <w:szCs w:val="32"/>
          <w:lang w:val="en-US" w:eastAsia="zh-CN"/>
        </w:rPr>
        <w:t>1.网上报名</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5月15日至18日，学生登陆佛山市中考信息管理系统（http://zsks.edu.foshan.gov.cn）进行报名。</w:t>
      </w:r>
    </w:p>
    <w:p>
      <w:pPr>
        <w:spacing w:line="240" w:lineRule="auto"/>
        <w:ind w:firstLine="643" w:firstLineChars="200"/>
        <w:rPr>
          <w:rFonts w:hint="eastAsia" w:ascii="楷体_GB2312" w:hAnsi="Times New Roman" w:eastAsia="楷体_GB2312" w:cs="Times New Roman"/>
          <w:b/>
          <w:bCs w:val="0"/>
          <w:sz w:val="32"/>
          <w:szCs w:val="32"/>
          <w:lang w:val="en-US" w:eastAsia="zh-CN"/>
        </w:rPr>
      </w:pPr>
      <w:r>
        <w:rPr>
          <w:rFonts w:hint="eastAsia" w:ascii="楷体_GB2312" w:hAnsi="Times New Roman" w:eastAsia="楷体_GB2312" w:cs="Times New Roman"/>
          <w:b/>
          <w:bCs w:val="0"/>
          <w:sz w:val="32"/>
          <w:szCs w:val="32"/>
          <w:lang w:val="en-US" w:eastAsia="zh-CN"/>
        </w:rPr>
        <w:t>2.网上报名需要填写或上传以下材料：</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（1）填写初三3次大型考试的成绩（如上学期期末考试、一模、二模等）；上传个人学业成绩有效证明，如学校发的成绩单、年级光荣榜照片等。</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（2）填报“（一）报名资格”中第2点第（2）条的获奖情况或其它证明材料（同一项目只填写最高等级），没有可不填报。</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如在网上报名时有疑问可以致电（0757-82838917）咨询廖老师和张老师。网上报名之后可以查询是否报名成功。</w:t>
      </w:r>
    </w:p>
    <w:p>
      <w:pPr>
        <w:spacing w:line="240" w:lineRule="auto"/>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（三）资格审核</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佛山一中自主招生工作小组登陆佛山市中考信息管理系统浏览“已确认”的学生报名资料，审核考生的报名资格。学校自主招生工作小组将按一定比例择优确定参加自主招生综合评价的考生名单。考生可登陆佛山市中考信息管理系统查看自主招生报名资格审核结果。</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凡提供虚假成绩、虚假材料骗取综合评价资格或录取资格的考生，一经查实，立即取消该生综合评价资格或录取资格，由此产生的后果自负。</w:t>
      </w:r>
    </w:p>
    <w:p>
      <w:pPr>
        <w:numPr>
          <w:ilvl w:val="0"/>
          <w:numId w:val="0"/>
        </w:numPr>
        <w:spacing w:line="240" w:lineRule="auto"/>
        <w:ind w:firstLine="640" w:firstLineChars="200"/>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三、综合评价办法</w:t>
      </w:r>
    </w:p>
    <w:p>
      <w:pPr>
        <w:spacing w:line="240" w:lineRule="auto"/>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（一）志愿填报</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自主招生学校志愿单列安排在中考志愿表的提前批第一层，报名参加我校自主招生并且资格审核已通过的考生，“普通高中自主招生”志愿栏只能选报佛山市第一中学。被我校自主招生录取的考生，不再参加其他批次（层次）志愿录取；未被自主招生录取的考生，继续按志愿表投档，不影响后续批次录取。</w:t>
      </w:r>
    </w:p>
    <w:p>
      <w:pPr>
        <w:spacing w:line="240" w:lineRule="auto"/>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w:t>
      </w:r>
      <w:bookmarkStart w:id="0" w:name="_GoBack"/>
      <w:bookmarkEnd w:id="0"/>
      <w:r>
        <w:rPr>
          <w:rFonts w:hint="eastAsia" w:ascii="楷体" w:hAnsi="楷体" w:eastAsia="楷体" w:cs="楷体"/>
          <w:b/>
          <w:bCs/>
          <w:sz w:val="32"/>
          <w:szCs w:val="32"/>
          <w:lang w:val="en-US" w:eastAsia="zh-CN"/>
        </w:rPr>
        <w:t>）</w:t>
      </w:r>
      <w:r>
        <w:rPr>
          <w:rFonts w:hint="eastAsia" w:ascii="楷体" w:hAnsi="楷体" w:eastAsia="楷体" w:cs="楷体"/>
          <w:b/>
          <w:bCs/>
          <w:sz w:val="32"/>
          <w:szCs w:val="32"/>
          <w:lang w:val="en-US" w:eastAsia="zh-CN"/>
        </w:rPr>
        <w:t>综合评价</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1.资格审核通过的考生根据“广东省佛山市第一中学”公众号发布的通知指引，领取并打印准入证，凭准入证按时到学校参加综合评价。</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2.综合评价时间和地点：2024年中考结束后，组织对符合报名资格的考生在佛山一中校内开展自主招生综合评价，具体时间由佛山市教育局统一规定。</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3.综合评价内容：重点评价学生核心素养，包括语言能力、数学思维、科学素养。</w:t>
      </w:r>
    </w:p>
    <w:tbl>
      <w:tblPr>
        <w:tblStyle w:val="5"/>
        <w:tblW w:w="72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05"/>
        <w:gridCol w:w="2730"/>
        <w:gridCol w:w="1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3205" w:type="dxa"/>
            <w:vAlign w:val="center"/>
          </w:tcPr>
          <w:p>
            <w:pPr>
              <w:pStyle w:val="6"/>
              <w:widowControl w:val="0"/>
              <w:spacing w:line="240" w:lineRule="auto"/>
              <w:ind w:firstLine="0" w:firstLineChars="0"/>
              <w:jc w:val="center"/>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核心素养</w:t>
            </w:r>
          </w:p>
        </w:tc>
        <w:tc>
          <w:tcPr>
            <w:tcW w:w="2730" w:type="dxa"/>
            <w:vAlign w:val="center"/>
          </w:tcPr>
          <w:p>
            <w:pPr>
              <w:pStyle w:val="6"/>
              <w:widowControl w:val="0"/>
              <w:spacing w:line="240" w:lineRule="auto"/>
              <w:ind w:firstLine="198" w:firstLineChars="62"/>
              <w:jc w:val="center"/>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时间</w:t>
            </w:r>
          </w:p>
        </w:tc>
        <w:tc>
          <w:tcPr>
            <w:tcW w:w="1359" w:type="dxa"/>
            <w:vAlign w:val="center"/>
          </w:tcPr>
          <w:p>
            <w:pPr>
              <w:pStyle w:val="6"/>
              <w:widowControl w:val="0"/>
              <w:spacing w:line="240" w:lineRule="auto"/>
              <w:ind w:firstLine="0" w:firstLineChars="0"/>
              <w:jc w:val="center"/>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3205" w:type="dxa"/>
            <w:vAlign w:val="center"/>
          </w:tcPr>
          <w:p>
            <w:pPr>
              <w:pStyle w:val="6"/>
              <w:widowControl w:val="0"/>
              <w:spacing w:line="240" w:lineRule="auto"/>
              <w:ind w:firstLine="0" w:firstLineChars="0"/>
              <w:jc w:val="center"/>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语言能力（汉语）</w:t>
            </w:r>
          </w:p>
        </w:tc>
        <w:tc>
          <w:tcPr>
            <w:tcW w:w="2730" w:type="dxa"/>
            <w:vAlign w:val="center"/>
          </w:tcPr>
          <w:p>
            <w:pPr>
              <w:pStyle w:val="6"/>
              <w:widowControl w:val="0"/>
              <w:spacing w:line="240" w:lineRule="auto"/>
              <w:ind w:firstLine="198" w:firstLineChars="62"/>
              <w:jc w:val="center"/>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8</w:t>
            </w:r>
            <w:r>
              <w:rPr>
                <w:rFonts w:hint="eastAsia" w:ascii="仿宋_GB2312" w:eastAsia="仿宋_GB2312" w:cs="Times New Roman"/>
                <w:kern w:val="2"/>
                <w:sz w:val="32"/>
                <w:szCs w:val="32"/>
                <w:lang w:val="en-US" w:eastAsia="zh-CN"/>
              </w:rPr>
              <w:t>:</w:t>
            </w:r>
            <w:r>
              <w:rPr>
                <w:rFonts w:hint="eastAsia" w:ascii="仿宋_GB2312" w:hAnsi="宋体" w:eastAsia="仿宋_GB2312" w:cs="Times New Roman"/>
                <w:kern w:val="2"/>
                <w:sz w:val="32"/>
                <w:szCs w:val="32"/>
                <w:lang w:val="en-US" w:eastAsia="zh-CN"/>
              </w:rPr>
              <w:t>00－9</w:t>
            </w:r>
            <w:r>
              <w:rPr>
                <w:rFonts w:hint="eastAsia" w:ascii="仿宋_GB2312" w:eastAsia="仿宋_GB2312" w:cs="Times New Roman"/>
                <w:kern w:val="2"/>
                <w:sz w:val="32"/>
                <w:szCs w:val="32"/>
                <w:lang w:val="en-US" w:eastAsia="zh-CN"/>
              </w:rPr>
              <w:t>:</w:t>
            </w:r>
            <w:r>
              <w:rPr>
                <w:rFonts w:hint="eastAsia" w:ascii="仿宋_GB2312" w:hAnsi="宋体" w:eastAsia="仿宋_GB2312" w:cs="Times New Roman"/>
                <w:kern w:val="2"/>
                <w:sz w:val="32"/>
                <w:szCs w:val="32"/>
                <w:lang w:val="en-US" w:eastAsia="zh-CN"/>
              </w:rPr>
              <w:t>30</w:t>
            </w:r>
          </w:p>
        </w:tc>
        <w:tc>
          <w:tcPr>
            <w:tcW w:w="1359" w:type="dxa"/>
            <w:vAlign w:val="center"/>
          </w:tcPr>
          <w:p>
            <w:pPr>
              <w:pStyle w:val="6"/>
              <w:widowControl w:val="0"/>
              <w:spacing w:line="240" w:lineRule="auto"/>
              <w:ind w:firstLine="198" w:firstLineChars="62"/>
              <w:jc w:val="center"/>
              <w:rPr>
                <w:rFonts w:hint="eastAsia" w:ascii="仿宋_GB2312" w:hAnsi="宋体" w:eastAsia="仿宋_GB2312" w:cs="Times New Roman"/>
                <w:kern w:val="2"/>
                <w:sz w:val="32"/>
                <w:szCs w:val="32"/>
                <w:lang w:val="en-US" w:eastAsia="zh-CN"/>
              </w:rPr>
            </w:pPr>
            <w:r>
              <w:rPr>
                <w:rFonts w:hint="eastAsia" w:ascii="仿宋_GB2312" w:eastAsia="仿宋_GB2312" w:cs="Times New Roman"/>
                <w:kern w:val="2"/>
                <w:sz w:val="32"/>
                <w:szCs w:val="32"/>
                <w:lang w:val="en-US" w:eastAsia="zh-CN"/>
              </w:rPr>
              <w:t>24</w:t>
            </w:r>
            <w:r>
              <w:rPr>
                <w:rFonts w:hint="eastAsia" w:ascii="仿宋_GB2312" w:hAnsi="宋体" w:eastAsia="仿宋_GB2312" w:cs="Times New Roman"/>
                <w:kern w:val="2"/>
                <w:sz w:val="32"/>
                <w:szCs w:val="3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3205" w:type="dxa"/>
            <w:vAlign w:val="center"/>
          </w:tcPr>
          <w:p>
            <w:pPr>
              <w:pStyle w:val="6"/>
              <w:widowControl w:val="0"/>
              <w:spacing w:line="240" w:lineRule="auto"/>
              <w:ind w:firstLine="0" w:firstLineChars="0"/>
              <w:jc w:val="center"/>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数学思维</w:t>
            </w:r>
          </w:p>
        </w:tc>
        <w:tc>
          <w:tcPr>
            <w:tcW w:w="2730" w:type="dxa"/>
            <w:vAlign w:val="center"/>
          </w:tcPr>
          <w:p>
            <w:pPr>
              <w:pStyle w:val="6"/>
              <w:widowControl w:val="0"/>
              <w:spacing w:line="240" w:lineRule="auto"/>
              <w:ind w:firstLine="198" w:firstLineChars="62"/>
              <w:jc w:val="center"/>
              <w:rPr>
                <w:rFonts w:hint="default"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10</w:t>
            </w:r>
            <w:r>
              <w:rPr>
                <w:rFonts w:hint="eastAsia" w:ascii="仿宋_GB2312" w:eastAsia="仿宋_GB2312" w:cs="Times New Roman"/>
                <w:kern w:val="2"/>
                <w:sz w:val="32"/>
                <w:szCs w:val="32"/>
                <w:lang w:val="en-US" w:eastAsia="zh-CN"/>
              </w:rPr>
              <w:t>:</w:t>
            </w:r>
            <w:r>
              <w:rPr>
                <w:rFonts w:hint="eastAsia" w:ascii="仿宋_GB2312" w:hAnsi="宋体" w:eastAsia="仿宋_GB2312" w:cs="Times New Roman"/>
                <w:kern w:val="2"/>
                <w:sz w:val="32"/>
                <w:szCs w:val="32"/>
                <w:lang w:val="en-US" w:eastAsia="zh-CN"/>
              </w:rPr>
              <w:t>00－12</w:t>
            </w:r>
            <w:r>
              <w:rPr>
                <w:rFonts w:hint="eastAsia" w:ascii="仿宋_GB2312" w:eastAsia="仿宋_GB2312" w:cs="Times New Roman"/>
                <w:kern w:val="2"/>
                <w:sz w:val="32"/>
                <w:szCs w:val="32"/>
                <w:lang w:val="en-US" w:eastAsia="zh-CN"/>
              </w:rPr>
              <w:t>:</w:t>
            </w:r>
            <w:r>
              <w:rPr>
                <w:rFonts w:hint="eastAsia" w:ascii="仿宋_GB2312" w:hAnsi="宋体" w:eastAsia="仿宋_GB2312" w:cs="Times New Roman"/>
                <w:kern w:val="2"/>
                <w:sz w:val="32"/>
                <w:szCs w:val="32"/>
                <w:lang w:val="en-US" w:eastAsia="zh-CN"/>
              </w:rPr>
              <w:t>00</w:t>
            </w:r>
          </w:p>
        </w:tc>
        <w:tc>
          <w:tcPr>
            <w:tcW w:w="1359" w:type="dxa"/>
            <w:vAlign w:val="center"/>
          </w:tcPr>
          <w:p>
            <w:pPr>
              <w:pStyle w:val="6"/>
              <w:widowControl w:val="0"/>
              <w:spacing w:line="240" w:lineRule="auto"/>
              <w:ind w:firstLine="198" w:firstLineChars="62"/>
              <w:jc w:val="center"/>
              <w:rPr>
                <w:rFonts w:hint="eastAsia" w:ascii="仿宋_GB2312" w:hAnsi="宋体" w:eastAsia="仿宋_GB2312" w:cs="Times New Roman"/>
                <w:kern w:val="2"/>
                <w:sz w:val="32"/>
                <w:szCs w:val="32"/>
                <w:lang w:val="en-US" w:eastAsia="zh-CN"/>
              </w:rPr>
            </w:pPr>
            <w:r>
              <w:rPr>
                <w:rFonts w:hint="eastAsia" w:ascii="仿宋_GB2312" w:eastAsia="仿宋_GB2312" w:cs="Times New Roman"/>
                <w:kern w:val="2"/>
                <w:sz w:val="32"/>
                <w:szCs w:val="32"/>
                <w:lang w:val="en-US" w:eastAsia="zh-CN"/>
              </w:rPr>
              <w:t>30</w:t>
            </w:r>
            <w:r>
              <w:rPr>
                <w:rFonts w:hint="eastAsia" w:ascii="仿宋_GB2312" w:hAnsi="宋体" w:eastAsia="仿宋_GB2312" w:cs="Times New Roman"/>
                <w:kern w:val="2"/>
                <w:sz w:val="32"/>
                <w:szCs w:val="3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3205" w:type="dxa"/>
            <w:vAlign w:val="center"/>
          </w:tcPr>
          <w:p>
            <w:pPr>
              <w:pStyle w:val="6"/>
              <w:widowControl w:val="0"/>
              <w:spacing w:line="240" w:lineRule="auto"/>
              <w:ind w:firstLine="0" w:firstLineChars="0"/>
              <w:jc w:val="center"/>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语言能力（英语）</w:t>
            </w:r>
          </w:p>
        </w:tc>
        <w:tc>
          <w:tcPr>
            <w:tcW w:w="2730" w:type="dxa"/>
            <w:vAlign w:val="center"/>
          </w:tcPr>
          <w:p>
            <w:pPr>
              <w:pStyle w:val="6"/>
              <w:widowControl w:val="0"/>
              <w:spacing w:line="240" w:lineRule="auto"/>
              <w:ind w:firstLine="198" w:firstLineChars="62"/>
              <w:jc w:val="center"/>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14</w:t>
            </w:r>
            <w:r>
              <w:rPr>
                <w:rFonts w:hint="eastAsia" w:ascii="仿宋_GB2312" w:eastAsia="仿宋_GB2312" w:cs="Times New Roman"/>
                <w:kern w:val="2"/>
                <w:sz w:val="32"/>
                <w:szCs w:val="32"/>
                <w:lang w:val="en-US" w:eastAsia="zh-CN"/>
              </w:rPr>
              <w:t>:</w:t>
            </w:r>
            <w:r>
              <w:rPr>
                <w:rFonts w:hint="eastAsia" w:ascii="仿宋_GB2312" w:hAnsi="宋体" w:eastAsia="仿宋_GB2312" w:cs="Times New Roman"/>
                <w:kern w:val="2"/>
                <w:sz w:val="32"/>
                <w:szCs w:val="32"/>
                <w:lang w:val="en-US" w:eastAsia="zh-CN"/>
              </w:rPr>
              <w:t>20－15</w:t>
            </w:r>
            <w:r>
              <w:rPr>
                <w:rFonts w:hint="eastAsia" w:ascii="仿宋_GB2312" w:eastAsia="仿宋_GB2312" w:cs="Times New Roman"/>
                <w:kern w:val="2"/>
                <w:sz w:val="32"/>
                <w:szCs w:val="32"/>
                <w:lang w:val="en-US" w:eastAsia="zh-CN"/>
              </w:rPr>
              <w:t>:</w:t>
            </w:r>
            <w:r>
              <w:rPr>
                <w:rFonts w:hint="eastAsia" w:ascii="仿宋_GB2312" w:hAnsi="宋体" w:eastAsia="仿宋_GB2312" w:cs="Times New Roman"/>
                <w:kern w:val="2"/>
                <w:sz w:val="32"/>
                <w:szCs w:val="32"/>
                <w:lang w:val="en-US" w:eastAsia="zh-CN"/>
              </w:rPr>
              <w:t>50</w:t>
            </w:r>
          </w:p>
        </w:tc>
        <w:tc>
          <w:tcPr>
            <w:tcW w:w="1359" w:type="dxa"/>
            <w:vAlign w:val="center"/>
          </w:tcPr>
          <w:p>
            <w:pPr>
              <w:pStyle w:val="6"/>
              <w:widowControl w:val="0"/>
              <w:spacing w:line="240" w:lineRule="auto"/>
              <w:ind w:firstLine="198" w:firstLineChars="62"/>
              <w:jc w:val="center"/>
              <w:rPr>
                <w:rFonts w:hint="eastAsia" w:ascii="仿宋_GB2312" w:hAnsi="宋体" w:eastAsia="仿宋_GB2312" w:cs="Times New Roman"/>
                <w:kern w:val="2"/>
                <w:sz w:val="32"/>
                <w:szCs w:val="32"/>
                <w:lang w:val="en-US" w:eastAsia="zh-CN"/>
              </w:rPr>
            </w:pPr>
            <w:r>
              <w:rPr>
                <w:rFonts w:hint="eastAsia" w:ascii="仿宋_GB2312" w:eastAsia="仿宋_GB2312" w:cs="Times New Roman"/>
                <w:kern w:val="2"/>
                <w:sz w:val="32"/>
                <w:szCs w:val="32"/>
                <w:lang w:val="en-US" w:eastAsia="zh-CN"/>
              </w:rPr>
              <w:t>24</w:t>
            </w:r>
            <w:r>
              <w:rPr>
                <w:rFonts w:hint="eastAsia" w:ascii="仿宋_GB2312" w:hAnsi="宋体" w:eastAsia="仿宋_GB2312" w:cs="Times New Roman"/>
                <w:kern w:val="2"/>
                <w:sz w:val="32"/>
                <w:szCs w:val="3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jc w:val="center"/>
        </w:trPr>
        <w:tc>
          <w:tcPr>
            <w:tcW w:w="3205" w:type="dxa"/>
            <w:vAlign w:val="center"/>
          </w:tcPr>
          <w:p>
            <w:pPr>
              <w:pStyle w:val="6"/>
              <w:widowControl w:val="0"/>
              <w:spacing w:line="240" w:lineRule="auto"/>
              <w:ind w:firstLine="0" w:firstLineChars="0"/>
              <w:jc w:val="center"/>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科学素</w:t>
            </w:r>
            <w:r>
              <w:rPr>
                <w:rFonts w:hint="eastAsia" w:ascii="仿宋_GB2312" w:eastAsia="仿宋_GB2312" w:cs="Times New Roman"/>
                <w:kern w:val="2"/>
                <w:sz w:val="32"/>
                <w:szCs w:val="32"/>
                <w:lang w:val="en-US" w:eastAsia="zh-CN"/>
              </w:rPr>
              <w:t>养</w:t>
            </w:r>
          </w:p>
        </w:tc>
        <w:tc>
          <w:tcPr>
            <w:tcW w:w="2730" w:type="dxa"/>
            <w:vAlign w:val="center"/>
          </w:tcPr>
          <w:p>
            <w:pPr>
              <w:pStyle w:val="6"/>
              <w:widowControl w:val="0"/>
              <w:spacing w:line="240" w:lineRule="auto"/>
              <w:ind w:firstLine="198" w:firstLineChars="62"/>
              <w:jc w:val="center"/>
              <w:rPr>
                <w:rFonts w:hint="eastAsia" w:ascii="仿宋_GB2312" w:hAnsi="宋体" w:eastAsia="仿宋_GB2312" w:cs="Times New Roman"/>
                <w:kern w:val="2"/>
                <w:sz w:val="32"/>
                <w:szCs w:val="32"/>
                <w:lang w:val="en-US" w:eastAsia="zh-CN"/>
              </w:rPr>
            </w:pPr>
            <w:r>
              <w:rPr>
                <w:rFonts w:hint="eastAsia" w:ascii="仿宋_GB2312" w:hAnsi="宋体" w:eastAsia="仿宋_GB2312" w:cs="Times New Roman"/>
                <w:kern w:val="2"/>
                <w:sz w:val="32"/>
                <w:szCs w:val="32"/>
                <w:lang w:val="en-US" w:eastAsia="zh-CN"/>
              </w:rPr>
              <w:t>16</w:t>
            </w:r>
            <w:r>
              <w:rPr>
                <w:rFonts w:hint="eastAsia" w:ascii="仿宋_GB2312" w:eastAsia="仿宋_GB2312" w:cs="Times New Roman"/>
                <w:kern w:val="2"/>
                <w:sz w:val="32"/>
                <w:szCs w:val="32"/>
                <w:lang w:val="en-US" w:eastAsia="zh-CN"/>
              </w:rPr>
              <w:t>:</w:t>
            </w:r>
            <w:r>
              <w:rPr>
                <w:rFonts w:hint="eastAsia" w:ascii="仿宋_GB2312" w:hAnsi="宋体" w:eastAsia="仿宋_GB2312" w:cs="Times New Roman"/>
                <w:kern w:val="2"/>
                <w:sz w:val="32"/>
                <w:szCs w:val="32"/>
                <w:lang w:val="en-US" w:eastAsia="zh-CN"/>
              </w:rPr>
              <w:t>05－17</w:t>
            </w:r>
            <w:r>
              <w:rPr>
                <w:rFonts w:hint="eastAsia" w:ascii="仿宋_GB2312" w:eastAsia="仿宋_GB2312" w:cs="Times New Roman"/>
                <w:kern w:val="2"/>
                <w:sz w:val="32"/>
                <w:szCs w:val="32"/>
                <w:lang w:val="en-US" w:eastAsia="zh-CN"/>
              </w:rPr>
              <w:t>:</w:t>
            </w:r>
            <w:r>
              <w:rPr>
                <w:rFonts w:hint="eastAsia" w:ascii="仿宋_GB2312" w:hAnsi="宋体" w:eastAsia="仿宋_GB2312" w:cs="Times New Roman"/>
                <w:kern w:val="2"/>
                <w:sz w:val="32"/>
                <w:szCs w:val="32"/>
                <w:lang w:val="en-US" w:eastAsia="zh-CN"/>
              </w:rPr>
              <w:t>35</w:t>
            </w:r>
          </w:p>
        </w:tc>
        <w:tc>
          <w:tcPr>
            <w:tcW w:w="1359" w:type="dxa"/>
            <w:vAlign w:val="center"/>
          </w:tcPr>
          <w:p>
            <w:pPr>
              <w:pStyle w:val="6"/>
              <w:widowControl w:val="0"/>
              <w:spacing w:line="240" w:lineRule="auto"/>
              <w:ind w:firstLine="198" w:firstLineChars="62"/>
              <w:jc w:val="center"/>
              <w:rPr>
                <w:rFonts w:hint="eastAsia" w:ascii="仿宋_GB2312" w:hAnsi="宋体" w:eastAsia="仿宋_GB2312" w:cs="Times New Roman"/>
                <w:kern w:val="2"/>
                <w:sz w:val="32"/>
                <w:szCs w:val="32"/>
                <w:lang w:val="en-US" w:eastAsia="zh-CN"/>
              </w:rPr>
            </w:pPr>
            <w:r>
              <w:rPr>
                <w:rFonts w:hint="eastAsia" w:ascii="仿宋_GB2312" w:eastAsia="仿宋_GB2312" w:cs="Times New Roman"/>
                <w:kern w:val="2"/>
                <w:sz w:val="32"/>
                <w:szCs w:val="32"/>
                <w:lang w:val="en-US" w:eastAsia="zh-CN"/>
              </w:rPr>
              <w:t>22</w:t>
            </w:r>
            <w:r>
              <w:rPr>
                <w:rFonts w:hint="eastAsia" w:ascii="仿宋_GB2312" w:hAnsi="宋体" w:eastAsia="仿宋_GB2312" w:cs="Times New Roman"/>
                <w:kern w:val="2"/>
                <w:sz w:val="32"/>
                <w:szCs w:val="32"/>
                <w:lang w:val="en-US" w:eastAsia="zh-CN"/>
              </w:rPr>
              <w:t>%</w:t>
            </w:r>
          </w:p>
        </w:tc>
      </w:tr>
    </w:tbl>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4.综合评价过程启用视频监控，全程录音录像。综合评价结果在综合评价结束后5天内对考生公布，对结果有疑问的考生可申请复核。学校在综合评价结束后7天内将评价结果上传佛山市中考信息管理系统。</w:t>
      </w:r>
    </w:p>
    <w:p>
      <w:pPr>
        <w:spacing w:line="240" w:lineRule="auto"/>
        <w:ind w:firstLine="640" w:firstLineChars="200"/>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四、录取方式</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市招生办参照考生中考成绩，根据考生志愿、综合表现评定档案及综合评价结果，予以投档录取。</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（1）录取学生综合表现评定须达到 B 等级（含Ｂ等级）以上。</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（2）根据有效填报佛山市第一中学自主招生志愿考生中考文化科成绩（不含加分）平均分下调60分，划定我校自主招生最低控制线。</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3）符合控制线上考生按学校综合评价结果从高到低录取，若招生学校计划数末名有两人或以上考生综合评价结果相同，则采用“同分比较原则”优先者录取；未能达到控制线的考生不予录取，参加后续批次录取。</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（4）未完成自主招生计划自动收回，转为佛山一中普通生计划在后续批次招生录取。</w:t>
      </w:r>
    </w:p>
    <w:p>
      <w:pPr>
        <w:spacing w:line="240" w:lineRule="auto"/>
        <w:ind w:firstLine="640" w:firstLineChars="200"/>
        <w:rPr>
          <w:rFonts w:hint="eastAsia" w:ascii="黑体" w:hAnsi="黑体" w:eastAsia="黑体" w:cs="黑体"/>
          <w:color w:val="000000"/>
          <w:sz w:val="32"/>
          <w:szCs w:val="32"/>
        </w:rPr>
      </w:pPr>
      <w:r>
        <w:rPr>
          <w:rFonts w:hint="eastAsia" w:ascii="黑体" w:hAnsi="黑体" w:eastAsia="黑体" w:cs="黑体"/>
          <w:color w:val="000000"/>
          <w:sz w:val="32"/>
          <w:szCs w:val="32"/>
          <w:lang w:val="en-US" w:eastAsia="zh-CN"/>
        </w:rPr>
        <w:t>五</w:t>
      </w:r>
      <w:r>
        <w:rPr>
          <w:rFonts w:hint="eastAsia" w:ascii="黑体" w:hAnsi="黑体" w:eastAsia="黑体" w:cs="黑体"/>
          <w:color w:val="000000"/>
          <w:sz w:val="32"/>
          <w:szCs w:val="32"/>
        </w:rPr>
        <w:t>、收费标准</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被佛山市第一中学自主招生录取的学生，其收费标准与普通生相同。自主招生报名及参加学校组织的综合评价不收费。</w:t>
      </w:r>
    </w:p>
    <w:p>
      <w:pPr>
        <w:spacing w:line="240" w:lineRule="auto"/>
        <w:ind w:firstLine="640" w:firstLineChars="200"/>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六、咨询、申诉与监督</w:t>
      </w:r>
    </w:p>
    <w:p>
      <w:pPr>
        <w:spacing w:line="240" w:lineRule="auto"/>
        <w:ind w:firstLine="640" w:firstLineChars="200"/>
        <w:rPr>
          <w:rFonts w:hint="default"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（一）</w:t>
      </w:r>
      <w:r>
        <w:rPr>
          <w:rFonts w:hint="eastAsia" w:ascii="楷体_GB2312" w:hAnsi="Times New Roman" w:eastAsia="楷体_GB2312" w:cs="Times New Roman"/>
          <w:b/>
          <w:bCs w:val="0"/>
          <w:sz w:val="32"/>
          <w:szCs w:val="32"/>
          <w:lang w:val="en-US" w:eastAsia="zh-CN"/>
        </w:rPr>
        <w:t>招生咨询：</w:t>
      </w:r>
      <w:r>
        <w:rPr>
          <w:rFonts w:hint="eastAsia" w:ascii="仿宋_GB2312" w:hAnsi="宋体" w:eastAsia="仿宋_GB2312" w:cs="Times New Roman"/>
          <w:sz w:val="32"/>
          <w:szCs w:val="32"/>
          <w:lang w:val="en-US" w:eastAsia="zh-CN"/>
        </w:rPr>
        <w:t>廖老师、张老师0757-82838917</w:t>
      </w:r>
    </w:p>
    <w:p>
      <w:pPr>
        <w:spacing w:line="240" w:lineRule="auto"/>
        <w:ind w:firstLine="640" w:firstLineChars="200"/>
        <w:rPr>
          <w:rFonts w:hint="default"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（二）</w:t>
      </w:r>
      <w:r>
        <w:rPr>
          <w:rFonts w:hint="default" w:ascii="仿宋_GB2312" w:hAnsi="宋体" w:eastAsia="仿宋_GB2312" w:cs="Times New Roman"/>
          <w:sz w:val="32"/>
          <w:szCs w:val="32"/>
          <w:lang w:val="en-US" w:eastAsia="zh-CN"/>
        </w:rPr>
        <w:t>我校</w:t>
      </w:r>
      <w:r>
        <w:rPr>
          <w:rFonts w:hint="eastAsia" w:ascii="仿宋_GB2312" w:hAnsi="宋体" w:eastAsia="仿宋_GB2312" w:cs="Times New Roman"/>
          <w:sz w:val="32"/>
          <w:szCs w:val="32"/>
          <w:lang w:val="en-US" w:eastAsia="zh-CN"/>
        </w:rPr>
        <w:t>自主</w:t>
      </w:r>
      <w:r>
        <w:rPr>
          <w:rFonts w:hint="default" w:ascii="仿宋_GB2312" w:hAnsi="宋体" w:eastAsia="仿宋_GB2312" w:cs="Times New Roman"/>
          <w:sz w:val="32"/>
          <w:szCs w:val="32"/>
          <w:lang w:val="en-US" w:eastAsia="zh-CN"/>
        </w:rPr>
        <w:t>招生工作在学校纪检监察部门的监督下进行，同时接受考生、家长和社会各界的监督。监督电话：</w:t>
      </w:r>
      <w:r>
        <w:rPr>
          <w:rFonts w:hint="eastAsia" w:ascii="仿宋_GB2312" w:hAnsi="宋体" w:eastAsia="仿宋_GB2312" w:cs="Times New Roman"/>
          <w:sz w:val="32"/>
          <w:szCs w:val="32"/>
          <w:lang w:val="en-US" w:eastAsia="zh-CN"/>
        </w:rPr>
        <w:t xml:space="preserve">0757-82802460（龙老师）。 </w:t>
      </w:r>
    </w:p>
    <w:p>
      <w:pPr>
        <w:spacing w:line="240" w:lineRule="auto"/>
        <w:ind w:firstLine="640" w:firstLineChars="200"/>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七、培养机制</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1.名师授课。整合校内外优质资源，成立由正高特级教师、奥赛金牌教练组成的名师团队任教，负责日常教学和辅导；聘请高校教授、优秀校友和家长组成成长导师团，定期进行专题式授课或开设讲座。</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2.全面育人。搭建五育并举课程体系，突出数理思维、文史素养培养，注重科学和人文并举。充分利用学校和社会资源，下设社会实践基地、科研体验基地、劳动教育基地、成长支持中心等，为学生全面而有个性的发展提供广阔的平台。为学员</w:t>
      </w:r>
      <w:r>
        <w:rPr>
          <w:rFonts w:hint="default" w:ascii="仿宋_GB2312" w:hAnsi="宋体" w:eastAsia="仿宋_GB2312" w:cs="Times New Roman"/>
          <w:sz w:val="32"/>
          <w:szCs w:val="32"/>
          <w:lang w:val="en-US" w:eastAsia="zh-CN"/>
        </w:rPr>
        <w:t>提供一流的学习条件，创造一流的学术环境与氛围</w:t>
      </w:r>
      <w:r>
        <w:rPr>
          <w:rFonts w:hint="eastAsia" w:ascii="仿宋_GB2312" w:hAnsi="宋体" w:eastAsia="仿宋_GB2312" w:cs="Times New Roman"/>
          <w:sz w:val="32"/>
          <w:szCs w:val="32"/>
          <w:lang w:val="en-US" w:eastAsia="zh-CN"/>
        </w:rPr>
        <w:t>，</w:t>
      </w:r>
      <w:r>
        <w:rPr>
          <w:rFonts w:hint="default" w:ascii="仿宋_GB2312" w:hAnsi="宋体" w:eastAsia="仿宋_GB2312" w:cs="Times New Roman"/>
          <w:sz w:val="32"/>
          <w:szCs w:val="32"/>
          <w:lang w:val="en-US" w:eastAsia="zh-CN"/>
        </w:rPr>
        <w:t>鼓励学生表现特长、发展潜质，追求卓越。</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3.</w:t>
      </w:r>
      <w:r>
        <w:rPr>
          <w:rFonts w:hint="default" w:ascii="仿宋_GB2312" w:hAnsi="宋体" w:eastAsia="仿宋_GB2312" w:cs="Times New Roman"/>
          <w:sz w:val="32"/>
          <w:szCs w:val="32"/>
          <w:lang w:val="en-US" w:eastAsia="zh-CN"/>
        </w:rPr>
        <w:t>因材施教</w:t>
      </w:r>
      <w:r>
        <w:rPr>
          <w:rFonts w:hint="eastAsia" w:ascii="仿宋_GB2312" w:hAnsi="宋体" w:eastAsia="仿宋_GB2312" w:cs="Times New Roman"/>
          <w:sz w:val="32"/>
          <w:szCs w:val="32"/>
          <w:lang w:val="en-US" w:eastAsia="zh-CN"/>
        </w:rPr>
        <w:t>。开设数学、物理、化学、生物学、信息学奥赛等特色课程，开设大学先修课、校本选修课，满足不同学生的多元成长需求，</w:t>
      </w:r>
      <w:r>
        <w:rPr>
          <w:rFonts w:hint="default" w:ascii="仿宋_GB2312" w:hAnsi="宋体" w:eastAsia="仿宋_GB2312" w:cs="Times New Roman"/>
          <w:sz w:val="32"/>
          <w:szCs w:val="32"/>
          <w:lang w:val="en-US" w:eastAsia="zh-CN"/>
        </w:rPr>
        <w:t>鼓励开展学科交叉、研究性学习</w:t>
      </w:r>
      <w:r>
        <w:rPr>
          <w:rFonts w:hint="eastAsia" w:ascii="仿宋_GB2312" w:hAnsi="宋体" w:eastAsia="仿宋_GB2312" w:cs="Times New Roman"/>
          <w:sz w:val="32"/>
          <w:szCs w:val="32"/>
          <w:lang w:val="en-US" w:eastAsia="zh-CN"/>
        </w:rPr>
        <w:t>，实现适性扬才，多样发展。</w:t>
      </w:r>
      <w:r>
        <w:rPr>
          <w:rFonts w:hint="default" w:ascii="仿宋_GB2312" w:hAnsi="宋体" w:eastAsia="仿宋_GB2312" w:cs="Times New Roman"/>
          <w:sz w:val="32"/>
          <w:szCs w:val="32"/>
          <w:lang w:val="en-US" w:eastAsia="zh-CN"/>
        </w:rPr>
        <w:t>实行小班化等培养模式</w:t>
      </w:r>
      <w:r>
        <w:rPr>
          <w:rFonts w:hint="eastAsia" w:ascii="仿宋_GB2312" w:hAnsi="宋体" w:eastAsia="仿宋_GB2312" w:cs="Times New Roman"/>
          <w:sz w:val="32"/>
          <w:szCs w:val="32"/>
          <w:lang w:val="en-US" w:eastAsia="zh-CN"/>
        </w:rPr>
        <w:t>，设立学科导师制和生涯导师，实施全方位的指导和培养。</w:t>
      </w:r>
    </w:p>
    <w:p>
      <w:pPr>
        <w:spacing w:line="240" w:lineRule="auto"/>
        <w:ind w:firstLine="640" w:firstLineChars="200"/>
        <w:rPr>
          <w:rFonts w:hint="eastAsia" w:ascii="仿宋_GB2312" w:hAnsi="宋体" w:eastAsia="仿宋_GB2312" w:cs="Times New Roman"/>
          <w:sz w:val="32"/>
          <w:szCs w:val="32"/>
          <w:lang w:val="en-US" w:eastAsia="zh-CN"/>
        </w:rPr>
      </w:pPr>
      <w:r>
        <w:rPr>
          <w:rFonts w:hint="eastAsia" w:ascii="仿宋_GB2312" w:hAnsi="宋体" w:eastAsia="仿宋_GB2312" w:cs="Times New Roman"/>
          <w:sz w:val="32"/>
          <w:szCs w:val="32"/>
          <w:lang w:val="en-US" w:eastAsia="zh-CN"/>
        </w:rPr>
        <w:t>4.双高衔接。与国内外顶尖高校签署生源基地和联合培养计划，建立和知名高校、科研院所的衔接，实现精准培养和定向推荐，丰富录取途径。对标“强基计划”、“基础学科拔尖学生培养计划”等国家重大人才培养计划，构建“高考、</w:t>
      </w:r>
      <w:r>
        <w:rPr>
          <w:rFonts w:hint="default" w:ascii="仿宋_GB2312" w:hAnsi="宋体" w:eastAsia="仿宋_GB2312" w:cs="Times New Roman"/>
          <w:sz w:val="32"/>
          <w:szCs w:val="32"/>
          <w:lang w:val="en-US" w:eastAsia="zh-CN"/>
        </w:rPr>
        <w:t>强基、竞赛</w:t>
      </w:r>
      <w:r>
        <w:rPr>
          <w:rFonts w:hint="eastAsia" w:ascii="仿宋_GB2312" w:hAnsi="宋体" w:eastAsia="仿宋_GB2312" w:cs="Times New Roman"/>
          <w:sz w:val="32"/>
          <w:szCs w:val="32"/>
          <w:lang w:val="en-US" w:eastAsia="zh-CN"/>
        </w:rPr>
        <w:t>”</w:t>
      </w:r>
      <w:r>
        <w:rPr>
          <w:rFonts w:hint="default" w:ascii="仿宋_GB2312" w:hAnsi="宋体" w:eastAsia="仿宋_GB2312" w:cs="Times New Roman"/>
          <w:sz w:val="32"/>
          <w:szCs w:val="32"/>
          <w:lang w:val="en-US" w:eastAsia="zh-CN"/>
        </w:rPr>
        <w:t>三位一体拔尖创新人才贯通培养体系</w:t>
      </w:r>
      <w:r>
        <w:rPr>
          <w:rFonts w:hint="eastAsia" w:ascii="仿宋_GB2312" w:hAnsi="宋体" w:eastAsia="仿宋_GB2312" w:cs="Times New Roman"/>
          <w:sz w:val="32"/>
          <w:szCs w:val="32"/>
          <w:lang w:val="en-US" w:eastAsia="zh-CN"/>
        </w:rPr>
        <w:t>，为学生升读名牌大学提供有力支持。</w:t>
      </w:r>
    </w:p>
    <w:p>
      <w:pPr>
        <w:spacing w:line="240" w:lineRule="auto"/>
        <w:ind w:firstLine="640" w:firstLineChars="200"/>
        <w:rPr>
          <w:rFonts w:hint="default" w:ascii="仿宋_GB2312" w:hAnsi="宋体" w:eastAsia="仿宋_GB2312" w:cs="Times New Roman"/>
          <w:sz w:val="32"/>
          <w:szCs w:val="32"/>
          <w:lang w:val="en-US" w:eastAsia="zh-CN"/>
        </w:rPr>
      </w:pPr>
    </w:p>
    <w:p>
      <w:pPr>
        <w:spacing w:line="240" w:lineRule="auto"/>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本方案由佛山市第一中学自主招生领导小组负责解释。</w:t>
      </w:r>
    </w:p>
    <w:p>
      <w:pPr>
        <w:spacing w:line="240" w:lineRule="auto"/>
        <w:rPr>
          <w:rFonts w:ascii="仿宋_GB2312" w:eastAsia="仿宋_GB2312"/>
          <w:sz w:val="32"/>
        </w:rPr>
      </w:pPr>
    </w:p>
    <w:p>
      <w:pPr>
        <w:snapToGrid w:val="0"/>
        <w:spacing w:line="240" w:lineRule="auto"/>
        <w:rPr>
          <w:rFonts w:ascii="仿宋_GB2312" w:eastAsia="仿宋_GB2312"/>
          <w:sz w:val="32"/>
        </w:rPr>
      </w:pPr>
    </w:p>
    <w:p>
      <w:pPr>
        <w:snapToGrid w:val="0"/>
        <w:spacing w:line="240" w:lineRule="auto"/>
        <w:rPr>
          <w:rFonts w:hint="eastAsia" w:ascii="仿宋_GB2312" w:eastAsia="仿宋_GB2312"/>
          <w:sz w:val="32"/>
        </w:rPr>
      </w:pPr>
    </w:p>
    <w:p>
      <w:pPr>
        <w:snapToGrid w:val="0"/>
        <w:spacing w:line="240" w:lineRule="auto"/>
        <w:jc w:val="right"/>
        <w:rPr>
          <w:rFonts w:hint="eastAsia" w:ascii="仿宋_GB2312" w:eastAsia="仿宋_GB2312"/>
          <w:sz w:val="32"/>
        </w:rPr>
      </w:pPr>
      <w:r>
        <w:rPr>
          <w:rFonts w:hint="eastAsia" w:ascii="仿宋_GB2312" w:eastAsia="仿宋_GB2312"/>
          <w:sz w:val="32"/>
        </w:rPr>
        <w:t xml:space="preserve">                       </w:t>
      </w:r>
      <w:r>
        <w:rPr>
          <w:rFonts w:hint="eastAsia" w:ascii="仿宋_GB2312" w:eastAsia="仿宋_GB2312"/>
          <w:sz w:val="32"/>
          <w:lang w:val="en-US" w:eastAsia="zh-CN"/>
        </w:rPr>
        <w:t xml:space="preserve">    </w:t>
      </w:r>
      <w:r>
        <w:rPr>
          <w:rFonts w:hint="eastAsia" w:ascii="仿宋_GB2312" w:eastAsia="仿宋_GB2312"/>
          <w:sz w:val="32"/>
        </w:rPr>
        <w:t xml:space="preserve">      佛山市</w:t>
      </w:r>
      <w:r>
        <w:rPr>
          <w:rFonts w:hint="eastAsia" w:ascii="仿宋_GB2312" w:eastAsia="仿宋_GB2312"/>
          <w:sz w:val="32"/>
          <w:lang w:eastAsia="zh-CN"/>
        </w:rPr>
        <w:t>第一</w:t>
      </w:r>
      <w:r>
        <w:rPr>
          <w:rFonts w:hint="eastAsia" w:ascii="仿宋_GB2312" w:eastAsia="仿宋_GB2312"/>
          <w:sz w:val="32"/>
        </w:rPr>
        <w:t>中学</w:t>
      </w:r>
    </w:p>
    <w:p>
      <w:pPr>
        <w:spacing w:line="240" w:lineRule="auto"/>
        <w:jc w:val="right"/>
      </w:pPr>
      <w:r>
        <w:rPr>
          <w:rFonts w:hint="eastAsia" w:ascii="仿宋_GB2312" w:hAnsi="Times New Roman" w:eastAsia="仿宋_GB2312"/>
          <w:sz w:val="32"/>
          <w:szCs w:val="24"/>
        </w:rPr>
        <w:t>202</w:t>
      </w:r>
      <w:r>
        <w:rPr>
          <w:rFonts w:hint="eastAsia" w:ascii="仿宋_GB2312" w:hAnsi="Times New Roman" w:eastAsia="仿宋_GB2312"/>
          <w:sz w:val="32"/>
          <w:szCs w:val="24"/>
          <w:lang w:val="en-US" w:eastAsia="zh-CN"/>
        </w:rPr>
        <w:t>4</w:t>
      </w:r>
      <w:r>
        <w:rPr>
          <w:rFonts w:hint="eastAsia" w:ascii="仿宋_GB2312" w:hAnsi="Times New Roman" w:eastAsia="仿宋_GB2312"/>
          <w:sz w:val="32"/>
          <w:szCs w:val="24"/>
        </w:rPr>
        <w:t>年</w:t>
      </w:r>
      <w:r>
        <w:rPr>
          <w:rFonts w:hint="eastAsia" w:ascii="仿宋_GB2312" w:eastAsia="仿宋_GB2312"/>
          <w:sz w:val="32"/>
          <w:szCs w:val="24"/>
          <w:lang w:val="en-US" w:eastAsia="zh-CN"/>
        </w:rPr>
        <w:t>5</w:t>
      </w:r>
      <w:r>
        <w:rPr>
          <w:rFonts w:hint="eastAsia" w:ascii="仿宋_GB2312" w:hAnsi="Times New Roman" w:eastAsia="仿宋_GB2312"/>
          <w:sz w:val="32"/>
          <w:szCs w:val="24"/>
        </w:rPr>
        <w:t>月</w:t>
      </w:r>
      <w:r>
        <w:rPr>
          <w:rFonts w:hint="eastAsia" w:ascii="仿宋_GB2312" w:eastAsia="仿宋_GB2312"/>
          <w:sz w:val="32"/>
          <w:szCs w:val="24"/>
          <w:lang w:val="en-US" w:eastAsia="zh-CN"/>
        </w:rPr>
        <w:t>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049A04"/>
    <w:multiLevelType w:val="singleLevel"/>
    <w:tmpl w:val="DB049A0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5Mjc3YjI0Y2U2NDNlNzkyY2QxZmJiMjIzYTRiMjgifQ=="/>
    <w:docVar w:name="KSO_WPS_MARK_KEY" w:val="5f8a77b5-0389-4312-95bf-cbc0ee56312d"/>
  </w:docVars>
  <w:rsids>
    <w:rsidRoot w:val="178305D3"/>
    <w:rsid w:val="03311327"/>
    <w:rsid w:val="0946657C"/>
    <w:rsid w:val="0B1E6F8B"/>
    <w:rsid w:val="178305D3"/>
    <w:rsid w:val="185E517A"/>
    <w:rsid w:val="1CA05886"/>
    <w:rsid w:val="29D1202A"/>
    <w:rsid w:val="2A6D58B5"/>
    <w:rsid w:val="307153DD"/>
    <w:rsid w:val="3B64626A"/>
    <w:rsid w:val="4A247DF6"/>
    <w:rsid w:val="4A61438B"/>
    <w:rsid w:val="52D92B8E"/>
    <w:rsid w:val="56130B60"/>
    <w:rsid w:val="5E4D6C4D"/>
    <w:rsid w:val="61C53566"/>
    <w:rsid w:val="6384309D"/>
    <w:rsid w:val="67C27E1F"/>
    <w:rsid w:val="71713C31"/>
    <w:rsid w:val="71834994"/>
    <w:rsid w:val="75FD3C0E"/>
    <w:rsid w:val="7BC22056"/>
    <w:rsid w:val="7FA126B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rPr>
  </w:style>
  <w:style w:type="paragraph" w:styleId="2">
    <w:name w:val="heading 3"/>
    <w:basedOn w:val="1"/>
    <w:next w:val="1"/>
    <w:qFormat/>
    <w:uiPriority w:val="9"/>
    <w:pPr>
      <w:spacing w:beforeAutospacing="1" w:afterAutospacing="1"/>
      <w:jc w:val="left"/>
      <w:outlineLvl w:val="2"/>
    </w:pPr>
    <w:rPr>
      <w:rFonts w:hint="eastAsia" w:ascii="宋体" w:hAnsi="宋体" w:eastAsia="宋体" w:cs="Times New Roman"/>
      <w:b/>
      <w:kern w:val="0"/>
      <w:sz w:val="27"/>
      <w:szCs w:val="27"/>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pPr>
      <w:autoSpaceDE w:val="0"/>
      <w:autoSpaceDN w:val="0"/>
      <w:spacing w:before="160"/>
      <w:ind w:left="112"/>
      <w:jc w:val="left"/>
    </w:pPr>
    <w:rPr>
      <w:rFonts w:ascii="宋体" w:hAnsi="宋体" w:cs="宋体"/>
      <w:kern w:val="0"/>
      <w:sz w:val="24"/>
      <w:szCs w:val="24"/>
      <w:lang w:val="zh-CN" w:bidi="zh-CN"/>
    </w:rPr>
  </w:style>
  <w:style w:type="paragraph" w:customStyle="1" w:styleId="6">
    <w:name w:val="缩2"/>
    <w:basedOn w:val="1"/>
    <w:qFormat/>
    <w:uiPriority w:val="0"/>
    <w:pPr>
      <w:widowControl/>
      <w:adjustRightInd w:val="0"/>
      <w:snapToGrid w:val="0"/>
      <w:ind w:firstLine="200" w:firstLineChars="200"/>
      <w:jc w:val="left"/>
    </w:pPr>
    <w:rPr>
      <w:rFonts w:ascii="宋体" w:hAnsi="宋体" w:eastAsia="宋体" w:cs="宋体"/>
      <w:kern w:val="0"/>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2370</Words>
  <Characters>2509</Characters>
  <Lines>0</Lines>
  <Paragraphs>0</Paragraphs>
  <ScaleCrop>false</ScaleCrop>
  <LinksUpToDate>false</LinksUpToDate>
  <CharactersWithSpaces>2545</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2024-04-30T08:48:00Z</dcterms:created>
  <dc:creator>黄广慧</dc:creator>
  <cp:lastModifiedBy>Deba</cp:lastModifiedBy>
  <cp:lastPrinted>2024-05-06T07:14:00Z</cp:lastPrinted>
  <dcterms:modified xsi:type="dcterms:W3CDTF">2024-05-11T03:14:04Z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ED264B2F686C4F80A60CF7A611C2BCB5_11</vt:lpwstr>
  </property>
</Properties>
</file>