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ascii="黑体" w:hAnsi="黑体" w:eastAsia="黑体" w:cs="黑体"/>
          <w:sz w:val="32"/>
          <w:szCs w:val="32"/>
        </w:rPr>
      </w:pPr>
      <w:r>
        <w:rPr>
          <w:rFonts w:hint="eastAsia" w:ascii="黑体" w:hAnsi="黑体" w:eastAsia="黑体" w:cs="黑体"/>
          <w:sz w:val="32"/>
          <w:szCs w:val="32"/>
        </w:rPr>
        <w:t>附件</w:t>
      </w:r>
    </w:p>
    <w:p>
      <w:pPr>
        <w:pStyle w:val="2"/>
      </w:pPr>
      <w:r>
        <w:rPr>
          <w:rFonts w:hint="eastAsia"/>
        </w:rPr>
        <w:t>《佛山市教育设施布局专项规划</w:t>
      </w:r>
    </w:p>
    <w:p>
      <w:pPr>
        <w:pStyle w:val="2"/>
      </w:pPr>
      <w:r>
        <w:rPr>
          <w:rFonts w:hint="eastAsia"/>
        </w:rPr>
        <w:t>（</w:t>
      </w:r>
      <w:r>
        <w:t>2022-2035</w:t>
      </w:r>
      <w:r>
        <w:rPr>
          <w:rFonts w:hint="eastAsia"/>
        </w:rPr>
        <w:t>）》公示稿</w:t>
      </w:r>
    </w:p>
    <w:p>
      <w:pPr>
        <w:ind w:firstLine="640"/>
      </w:pPr>
    </w:p>
    <w:p>
      <w:pPr>
        <w:pStyle w:val="3"/>
        <w:numPr>
          <w:ilvl w:val="0"/>
          <w:numId w:val="0"/>
        </w:numPr>
        <w:adjustRightInd w:val="0"/>
        <w:snapToGrid w:val="0"/>
        <w:ind w:left="640" w:leftChars="200"/>
        <w:rPr>
          <w:b w:val="0"/>
          <w:bCs/>
        </w:rPr>
      </w:pPr>
      <w:bookmarkStart w:id="0" w:name="_Toc425070889"/>
      <w:bookmarkStart w:id="1" w:name="_Toc401840091"/>
      <w:bookmarkStart w:id="2" w:name="_Toc399249264"/>
      <w:bookmarkStart w:id="3" w:name="_Toc401840315"/>
      <w:r>
        <w:rPr>
          <w:rFonts w:hint="eastAsia"/>
          <w:b w:val="0"/>
          <w:bCs/>
        </w:rPr>
        <w:t>一、编制目的</w:t>
      </w:r>
    </w:p>
    <w:bookmarkEnd w:id="0"/>
    <w:bookmarkEnd w:id="1"/>
    <w:bookmarkEnd w:id="2"/>
    <w:bookmarkEnd w:id="3"/>
    <w:p>
      <w:pPr>
        <w:adjustRightInd w:val="0"/>
        <w:snapToGrid w:val="0"/>
        <w:ind w:firstLine="640"/>
        <w:rPr>
          <w:rFonts w:cs="黑体"/>
          <w:szCs w:val="32"/>
        </w:rPr>
      </w:pPr>
      <w:bookmarkStart w:id="4" w:name="_Toc102119338"/>
      <w:bookmarkStart w:id="5" w:name="_Toc83826147"/>
      <w:bookmarkStart w:id="6" w:name="_Toc83301507"/>
      <w:bookmarkStart w:id="7" w:name="_Toc23147"/>
      <w:r>
        <w:rPr>
          <w:rFonts w:hint="eastAsia" w:cs="黑体"/>
          <w:szCs w:val="32"/>
        </w:rPr>
        <w:t>为保障我市的高质量教育发展空间，充分衔接国土空间规划，加强与佛山总体发展定位、产业布局调整和新型城镇化建设衔接，完善教育设施建设体系与标准，把握人口发展趋势，科学预测教育设施需求，统筹安排各类教育设施用地，提高教育设施标准化水平和服务覆盖能力，构建与佛山城市定位相适应的教育设施总体格局</w:t>
      </w:r>
      <w:r>
        <w:rPr>
          <w:rFonts w:cs="黑体"/>
          <w:szCs w:val="32"/>
        </w:rPr>
        <w:t>，特编制本专项规划。</w:t>
      </w:r>
    </w:p>
    <w:p>
      <w:pPr>
        <w:pStyle w:val="3"/>
        <w:numPr>
          <w:ilvl w:val="0"/>
          <w:numId w:val="0"/>
        </w:numPr>
        <w:adjustRightInd w:val="0"/>
        <w:snapToGrid w:val="0"/>
        <w:ind w:left="640" w:leftChars="200"/>
        <w:rPr>
          <w:b w:val="0"/>
          <w:bCs/>
        </w:rPr>
      </w:pPr>
      <w:bookmarkStart w:id="8" w:name="_Toc31074"/>
      <w:bookmarkStart w:id="9" w:name="_Toc102119339"/>
      <w:bookmarkStart w:id="10" w:name="_Toc83826148"/>
      <w:bookmarkStart w:id="11" w:name="_Toc83301508"/>
      <w:r>
        <w:rPr>
          <w:rFonts w:hint="eastAsia"/>
          <w:b w:val="0"/>
          <w:bCs/>
        </w:rPr>
        <w:t>二、规划对象</w:t>
      </w:r>
      <w:bookmarkEnd w:id="8"/>
      <w:bookmarkEnd w:id="9"/>
      <w:bookmarkEnd w:id="10"/>
      <w:bookmarkEnd w:id="11"/>
      <w:r>
        <w:rPr>
          <w:rFonts w:hint="eastAsia"/>
          <w:b w:val="0"/>
          <w:bCs/>
        </w:rPr>
        <w:t>及内容</w:t>
      </w:r>
    </w:p>
    <w:p>
      <w:pPr>
        <w:pStyle w:val="4"/>
        <w:numPr>
          <w:ilvl w:val="0"/>
          <w:numId w:val="0"/>
        </w:numPr>
        <w:adjustRightInd w:val="0"/>
        <w:snapToGrid w:val="0"/>
        <w:ind w:left="640" w:leftChars="200"/>
        <w:rPr>
          <w:b w:val="0"/>
          <w:bCs w:val="0"/>
        </w:rPr>
      </w:pPr>
      <w:r>
        <w:rPr>
          <w:rFonts w:hint="eastAsia"/>
          <w:b w:val="0"/>
          <w:bCs w:val="0"/>
        </w:rPr>
        <w:t>（一）规划对象。</w:t>
      </w:r>
    </w:p>
    <w:p>
      <w:pPr>
        <w:adjustRightInd w:val="0"/>
        <w:snapToGrid w:val="0"/>
        <w:ind w:firstLine="640"/>
      </w:pPr>
      <w:r>
        <w:rPr>
          <w:rFonts w:hint="eastAsia"/>
        </w:rPr>
        <w:t>本专项规划的研究对象包括学前教育、义务教育、高中教育、高等教育等四个阶段；教育设施包括全日制教育设施，包括幼儿园、小学、初中、高中阶段学校（包括普通高中和中等职业技术学校）、普通高等院校、特殊教育学校、专门学校七个类别</w:t>
      </w:r>
      <w:r>
        <w:t>。</w:t>
      </w:r>
    </w:p>
    <w:p>
      <w:pPr>
        <w:pStyle w:val="4"/>
        <w:numPr>
          <w:ilvl w:val="0"/>
          <w:numId w:val="0"/>
        </w:numPr>
        <w:adjustRightInd w:val="0"/>
        <w:snapToGrid w:val="0"/>
        <w:ind w:left="640" w:leftChars="200"/>
        <w:rPr>
          <w:b w:val="0"/>
          <w:bCs w:val="0"/>
        </w:rPr>
      </w:pPr>
      <w:r>
        <w:rPr>
          <w:rFonts w:hint="eastAsia"/>
          <w:b w:val="0"/>
          <w:bCs w:val="0"/>
        </w:rPr>
        <w:t>（二）规划内容。</w:t>
      </w:r>
    </w:p>
    <w:p>
      <w:pPr>
        <w:adjustRightInd w:val="0"/>
        <w:snapToGrid w:val="0"/>
        <w:ind w:firstLine="640"/>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r>
        <w:rPr>
          <w:rFonts w:hint="eastAsia"/>
        </w:rPr>
        <w:t>统一市、区教育设施专项规划人口规模、规划标准和布局规则，编制学前教育和义务教育设施布局学位配置指引方案，高中阶段教育设施布点方案，高等教育设施用地控制方案</w:t>
      </w:r>
      <w:r>
        <w:t>。</w:t>
      </w:r>
    </w:p>
    <w:p>
      <w:pPr>
        <w:pStyle w:val="3"/>
        <w:numPr>
          <w:ilvl w:val="0"/>
          <w:numId w:val="0"/>
        </w:numPr>
        <w:adjustRightInd w:val="0"/>
        <w:snapToGrid w:val="0"/>
        <w:ind w:left="640" w:leftChars="200"/>
        <w:rPr>
          <w:b w:val="0"/>
          <w:bCs/>
        </w:rPr>
      </w:pPr>
      <w:r>
        <w:rPr>
          <w:rFonts w:hint="eastAsia"/>
          <w:b w:val="0"/>
          <w:bCs/>
        </w:rPr>
        <w:t>三、规划范围及期限</w:t>
      </w:r>
      <w:bookmarkEnd w:id="4"/>
      <w:bookmarkEnd w:id="5"/>
      <w:bookmarkEnd w:id="6"/>
      <w:bookmarkEnd w:id="7"/>
    </w:p>
    <w:p>
      <w:pPr>
        <w:adjustRightInd w:val="0"/>
        <w:snapToGrid w:val="0"/>
        <w:ind w:firstLine="640"/>
        <w:rPr>
          <w:bCs/>
        </w:rPr>
      </w:pPr>
      <w:r>
        <w:rPr>
          <w:rFonts w:hint="eastAsia"/>
        </w:rPr>
        <w:t>本次规划范围为佛山市行政辖区，总面积为</w:t>
      </w:r>
      <w:r>
        <w:t>3797.79</w:t>
      </w:r>
      <w:r>
        <w:rPr>
          <w:rFonts w:hint="eastAsia"/>
        </w:rPr>
        <w:t>平方公里。</w:t>
      </w:r>
    </w:p>
    <w:p>
      <w:pPr>
        <w:adjustRightInd w:val="0"/>
        <w:snapToGrid w:val="0"/>
        <w:ind w:firstLine="640"/>
      </w:pPr>
      <w:r>
        <w:rPr>
          <w:rFonts w:hint="eastAsia"/>
        </w:rPr>
        <w:t>本次规划期限为202</w:t>
      </w:r>
      <w:r>
        <w:t>2</w:t>
      </w:r>
      <w:r>
        <w:rPr>
          <w:rFonts w:hint="eastAsia"/>
        </w:rPr>
        <w:t>-2035年，其中十四五期间为202</w:t>
      </w:r>
      <w:r>
        <w:t>2</w:t>
      </w:r>
      <w:r>
        <w:rPr>
          <w:rFonts w:hint="eastAsia"/>
        </w:rPr>
        <w:t>-2025年，远期为2026-2035年。</w:t>
      </w:r>
      <w:bookmarkStart w:id="12" w:name="_Toc83301510"/>
      <w:bookmarkStart w:id="13" w:name="_Toc25101"/>
      <w:bookmarkStart w:id="14" w:name="_Toc102119341"/>
      <w:bookmarkStart w:id="15" w:name="_Toc83826150"/>
    </w:p>
    <w:p>
      <w:pPr>
        <w:adjustRightInd w:val="0"/>
        <w:snapToGrid w:val="0"/>
        <w:ind w:firstLine="640"/>
        <w:rPr>
          <w:rFonts w:ascii="黑体" w:hAnsi="黑体" w:eastAsia="黑体" w:cs="黑体"/>
          <w:bCs/>
          <w:szCs w:val="32"/>
        </w:rPr>
      </w:pPr>
      <w:r>
        <w:rPr>
          <w:rFonts w:hint="eastAsia" w:ascii="黑体" w:hAnsi="黑体" w:eastAsia="黑体" w:cs="黑体"/>
          <w:bCs/>
          <w:szCs w:val="32"/>
        </w:rPr>
        <w:t>四、规划原则</w:t>
      </w:r>
      <w:bookmarkEnd w:id="12"/>
      <w:bookmarkEnd w:id="13"/>
      <w:bookmarkEnd w:id="14"/>
      <w:bookmarkEnd w:id="15"/>
    </w:p>
    <w:p>
      <w:pPr>
        <w:pStyle w:val="5"/>
        <w:adjustRightInd w:val="0"/>
        <w:snapToGrid w:val="0"/>
        <w:ind w:firstLine="640"/>
        <w:rPr>
          <w:rFonts w:ascii="楷体" w:hAnsi="楷体" w:eastAsia="楷体" w:cs="楷体"/>
          <w:bCs w:val="0"/>
        </w:rPr>
      </w:pPr>
      <w:r>
        <w:rPr>
          <w:rFonts w:hint="eastAsia" w:ascii="楷体" w:hAnsi="楷体" w:eastAsia="楷体" w:cs="楷体"/>
          <w:bCs w:val="0"/>
        </w:rPr>
        <w:t>（一）坚持教育设施空间布局与城市功能定位和人口发展趋势相适应原则。</w:t>
      </w:r>
    </w:p>
    <w:p>
      <w:pPr>
        <w:pStyle w:val="5"/>
        <w:adjustRightInd w:val="0"/>
        <w:snapToGrid w:val="0"/>
        <w:ind w:firstLine="640"/>
      </w:pPr>
      <w:r>
        <w:rPr>
          <w:rFonts w:hint="eastAsia"/>
        </w:rPr>
        <w:t>严格遵循城市总体规划的要求，统筹规划、合理布局全市各级各类教育设施，保障我市教育适度发展和高质量发展。</w:t>
      </w:r>
    </w:p>
    <w:p>
      <w:pPr>
        <w:pStyle w:val="5"/>
        <w:adjustRightInd w:val="0"/>
        <w:snapToGrid w:val="0"/>
        <w:ind w:firstLine="640"/>
        <w:rPr>
          <w:rFonts w:ascii="楷体" w:hAnsi="楷体" w:eastAsia="楷体" w:cs="楷体"/>
          <w:bCs w:val="0"/>
        </w:rPr>
      </w:pPr>
      <w:r>
        <w:rPr>
          <w:rFonts w:hint="eastAsia" w:ascii="楷体" w:hAnsi="楷体" w:eastAsia="楷体" w:cs="楷体"/>
          <w:bCs w:val="0"/>
        </w:rPr>
        <w:t>（二）坚持教育设施空间布局满足教育公共服务属性要求原则。</w:t>
      </w:r>
    </w:p>
    <w:p>
      <w:pPr>
        <w:pStyle w:val="5"/>
        <w:adjustRightInd w:val="0"/>
        <w:snapToGrid w:val="0"/>
        <w:ind w:firstLine="640"/>
      </w:pPr>
      <w:r>
        <w:rPr>
          <w:rFonts w:hint="eastAsia"/>
        </w:rPr>
        <w:t>对幼儿园和义务教育设施分层规划，市级专规进行规模总控、分类控制、均衡布局、弹性布点，各区专规根据就近入学、总量平衡原则进行分片统筹、查漏补缺、配套预留、落实用地，并明确分期实施规划。</w:t>
      </w:r>
    </w:p>
    <w:p>
      <w:pPr>
        <w:pStyle w:val="5"/>
        <w:adjustRightInd w:val="0"/>
        <w:snapToGrid w:val="0"/>
        <w:ind w:firstLine="640"/>
        <w:rPr>
          <w:rFonts w:ascii="楷体" w:hAnsi="楷体" w:eastAsia="楷体" w:cs="楷体"/>
          <w:bCs w:val="0"/>
        </w:rPr>
      </w:pPr>
      <w:r>
        <w:rPr>
          <w:rFonts w:hint="eastAsia" w:ascii="楷体" w:hAnsi="楷体" w:eastAsia="楷体" w:cs="楷体"/>
          <w:bCs w:val="0"/>
        </w:rPr>
        <w:t>（三）坚持教育设施空间布局满足教育事业发展需求原则。</w:t>
      </w:r>
    </w:p>
    <w:p>
      <w:pPr>
        <w:pStyle w:val="5"/>
        <w:adjustRightInd w:val="0"/>
        <w:snapToGrid w:val="0"/>
        <w:ind w:firstLine="640"/>
      </w:pPr>
      <w:r>
        <w:rPr>
          <w:rFonts w:hint="eastAsia"/>
        </w:rPr>
        <w:t>对接义务教育规模，优化高中阶段普职教育设施比例，定性、定位、定量布局高中阶段教育设施。对接义务教育布局均衡集约布局普通高中设施，与城市空间结构和产业发展统筹协调布局中等职业技术学校（含技工学校）设施。</w:t>
      </w:r>
    </w:p>
    <w:p>
      <w:pPr>
        <w:pStyle w:val="5"/>
        <w:adjustRightInd w:val="0"/>
        <w:snapToGrid w:val="0"/>
        <w:ind w:firstLine="640"/>
      </w:pPr>
      <w:r>
        <w:rPr>
          <w:rFonts w:hint="eastAsia" w:ascii="楷体" w:hAnsi="楷体" w:eastAsia="楷体" w:cs="楷体"/>
          <w:bCs w:val="0"/>
        </w:rPr>
        <w:t>（四）坚持发挥教育设施布局先导性和全局性作用原则</w:t>
      </w:r>
      <w:r>
        <w:rPr>
          <w:rFonts w:hint="eastAsia"/>
        </w:rPr>
        <w:t>。</w:t>
      </w:r>
    </w:p>
    <w:p>
      <w:pPr>
        <w:pStyle w:val="5"/>
        <w:adjustRightInd w:val="0"/>
        <w:snapToGrid w:val="0"/>
        <w:ind w:firstLine="640"/>
      </w:pPr>
      <w:r>
        <w:rPr>
          <w:rFonts w:hint="eastAsia"/>
        </w:rPr>
        <w:t>根据城市发展战略，结合创新平台空间布局，适度超前，组团式、模块化布局高等教育设施。</w:t>
      </w:r>
      <w:bookmarkStart w:id="16" w:name="_Toc102124950"/>
    </w:p>
    <w:p>
      <w:pPr>
        <w:pStyle w:val="5"/>
        <w:adjustRightInd w:val="0"/>
        <w:snapToGrid w:val="0"/>
        <w:ind w:firstLine="640"/>
        <w:rPr>
          <w:rFonts w:ascii="黑体" w:hAnsi="黑体" w:eastAsia="黑体" w:cs="黑体"/>
        </w:rPr>
      </w:pPr>
      <w:r>
        <w:rPr>
          <w:rFonts w:hint="eastAsia" w:ascii="黑体" w:hAnsi="黑体" w:eastAsia="黑体" w:cs="黑体"/>
        </w:rPr>
        <w:t>五、规划的强制性和指引性内容</w:t>
      </w:r>
      <w:bookmarkEnd w:id="16"/>
    </w:p>
    <w:p>
      <w:pPr>
        <w:pStyle w:val="4"/>
        <w:numPr>
          <w:ilvl w:val="0"/>
          <w:numId w:val="0"/>
        </w:numPr>
        <w:adjustRightInd w:val="0"/>
        <w:snapToGrid w:val="0"/>
        <w:ind w:left="218" w:leftChars="68" w:firstLine="320" w:firstLineChars="100"/>
        <w:rPr>
          <w:b w:val="0"/>
          <w:bCs w:val="0"/>
        </w:rPr>
      </w:pPr>
      <w:r>
        <w:rPr>
          <w:rFonts w:hint="eastAsia"/>
          <w:b w:val="0"/>
          <w:bCs w:val="0"/>
        </w:rPr>
        <w:t>（一）强制性内容。</w:t>
      </w:r>
    </w:p>
    <w:p>
      <w:pPr>
        <w:pStyle w:val="4"/>
        <w:numPr>
          <w:ilvl w:val="0"/>
          <w:numId w:val="0"/>
        </w:numPr>
        <w:adjustRightInd w:val="0"/>
        <w:snapToGrid w:val="0"/>
        <w:ind w:left="218" w:leftChars="68" w:firstLine="320" w:firstLineChars="100"/>
        <w:rPr>
          <w:rFonts w:ascii="仿宋_GB2312" w:hAnsi="仿宋_GB2312" w:eastAsia="仿宋_GB2312" w:cs="仿宋_GB2312"/>
          <w:b w:val="0"/>
        </w:rPr>
      </w:pPr>
      <w:r>
        <w:rPr>
          <w:rFonts w:hint="eastAsia" w:ascii="仿宋_GB2312" w:hAnsi="仿宋_GB2312" w:eastAsia="仿宋_GB2312" w:cs="仿宋_GB2312"/>
          <w:b w:val="0"/>
        </w:rPr>
        <w:t>各类教育设施配置标准中的强制性规定。</w:t>
      </w:r>
    </w:p>
    <w:p>
      <w:pPr>
        <w:pStyle w:val="5"/>
        <w:numPr>
          <w:ilvl w:val="0"/>
          <w:numId w:val="4"/>
        </w:numPr>
        <w:adjustRightInd w:val="0"/>
        <w:snapToGrid w:val="0"/>
        <w:ind w:firstLine="640"/>
      </w:pPr>
      <w:r>
        <w:rPr>
          <w:rFonts w:hint="eastAsia"/>
        </w:rPr>
        <w:t>市级专项规划分解的各镇人口规模。</w:t>
      </w:r>
    </w:p>
    <w:p>
      <w:pPr>
        <w:pStyle w:val="5"/>
        <w:numPr>
          <w:ilvl w:val="0"/>
          <w:numId w:val="4"/>
        </w:numPr>
        <w:adjustRightInd w:val="0"/>
        <w:snapToGrid w:val="0"/>
        <w:ind w:firstLine="640"/>
      </w:pPr>
      <w:r>
        <w:rPr>
          <w:rFonts w:hint="eastAsia"/>
        </w:rPr>
        <w:t>市级专项规划提出的各区学前及义务教育各学段学位总数。</w:t>
      </w:r>
    </w:p>
    <w:p>
      <w:pPr>
        <w:pStyle w:val="5"/>
        <w:numPr>
          <w:ilvl w:val="0"/>
          <w:numId w:val="4"/>
        </w:numPr>
        <w:adjustRightInd w:val="0"/>
        <w:snapToGrid w:val="0"/>
        <w:ind w:firstLine="640"/>
      </w:pPr>
      <w:r>
        <w:rPr>
          <w:rFonts w:hint="eastAsia"/>
        </w:rPr>
        <w:t>市级专项规划提出的各区高中阶段教育设施学位总数。</w:t>
      </w:r>
    </w:p>
    <w:p>
      <w:pPr>
        <w:pStyle w:val="4"/>
        <w:numPr>
          <w:ilvl w:val="0"/>
          <w:numId w:val="0"/>
        </w:numPr>
        <w:adjustRightInd w:val="0"/>
        <w:snapToGrid w:val="0"/>
        <w:ind w:left="218" w:leftChars="68" w:firstLine="320" w:firstLineChars="100"/>
        <w:rPr>
          <w:b w:val="0"/>
          <w:bCs w:val="0"/>
        </w:rPr>
      </w:pPr>
      <w:r>
        <w:rPr>
          <w:rFonts w:hint="eastAsia"/>
          <w:b w:val="0"/>
          <w:bCs w:val="0"/>
        </w:rPr>
        <w:t>（二）指引性内容。</w:t>
      </w:r>
    </w:p>
    <w:p>
      <w:pPr>
        <w:pStyle w:val="5"/>
        <w:numPr>
          <w:ilvl w:val="0"/>
          <w:numId w:val="5"/>
        </w:numPr>
        <w:adjustRightInd w:val="0"/>
        <w:snapToGrid w:val="0"/>
        <w:ind w:firstLine="640"/>
      </w:pPr>
      <w:r>
        <w:rPr>
          <w:rFonts w:hint="eastAsia"/>
        </w:rPr>
        <w:t>各类教育设施配置标准中的指导性规定。</w:t>
      </w:r>
    </w:p>
    <w:p>
      <w:pPr>
        <w:pStyle w:val="5"/>
        <w:numPr>
          <w:ilvl w:val="0"/>
          <w:numId w:val="5"/>
        </w:numPr>
        <w:adjustRightInd w:val="0"/>
        <w:snapToGrid w:val="0"/>
        <w:ind w:firstLine="640"/>
      </w:pPr>
      <w:r>
        <w:rPr>
          <w:rFonts w:hint="eastAsia"/>
        </w:rPr>
        <w:t>市级专项规划提出的单元人口分解指标。</w:t>
      </w:r>
    </w:p>
    <w:p>
      <w:pPr>
        <w:pStyle w:val="5"/>
        <w:numPr>
          <w:ilvl w:val="0"/>
          <w:numId w:val="5"/>
        </w:numPr>
        <w:adjustRightInd w:val="0"/>
        <w:snapToGrid w:val="0"/>
        <w:ind w:firstLine="640"/>
        <w:sectPr>
          <w:pgSz w:w="11906" w:h="16838"/>
          <w:pgMar w:top="1440" w:right="1800" w:bottom="1440" w:left="1800" w:header="851" w:footer="992" w:gutter="0"/>
          <w:pgNumType w:start="1"/>
          <w:cols w:space="425" w:num="1"/>
          <w:docGrid w:type="lines" w:linePitch="312" w:charSpace="0"/>
        </w:sectPr>
      </w:pPr>
      <w:r>
        <w:rPr>
          <w:rFonts w:hint="eastAsia"/>
        </w:rPr>
        <w:t>市级专项规划提出的规划高中阶段教育设施的位置及所数。</w:t>
      </w:r>
    </w:p>
    <w:p>
      <w:pPr>
        <w:pStyle w:val="3"/>
        <w:numPr>
          <w:ilvl w:val="0"/>
          <w:numId w:val="0"/>
        </w:numPr>
        <w:adjustRightInd w:val="0"/>
        <w:snapToGrid w:val="0"/>
        <w:ind w:firstLine="640" w:firstLineChars="200"/>
        <w:rPr>
          <w:b w:val="0"/>
          <w:bCs/>
        </w:rPr>
      </w:pPr>
      <w:bookmarkStart w:id="17" w:name="_Toc102124962"/>
      <w:r>
        <w:rPr>
          <w:rFonts w:hint="eastAsia"/>
          <w:b w:val="0"/>
          <w:bCs/>
        </w:rPr>
        <w:t>五、总体</w:t>
      </w:r>
      <w:r>
        <w:rPr>
          <w:b w:val="0"/>
          <w:bCs/>
        </w:rPr>
        <w:t>目标</w:t>
      </w:r>
      <w:bookmarkEnd w:id="17"/>
    </w:p>
    <w:p>
      <w:pPr>
        <w:adjustRightInd w:val="0"/>
        <w:snapToGrid w:val="0"/>
        <w:ind w:firstLine="640"/>
      </w:pPr>
      <w:r>
        <w:t>本次规划全面贯彻党的十九大精神，以</w:t>
      </w:r>
      <w:r>
        <w:rPr>
          <w:rFonts w:hint="eastAsia"/>
        </w:rPr>
        <w:t>优先发展、创新发展、统筹发展</w:t>
      </w:r>
      <w:r>
        <w:t>理念为指导，</w:t>
      </w:r>
      <w:r>
        <w:rPr>
          <w:rFonts w:hint="eastAsia"/>
        </w:rPr>
        <w:t>以推进高水平教育现代化为主线、以建设高质量教育体系为主题，</w:t>
      </w:r>
      <w:r>
        <w:t>打造学前教育公益普惠、义务教育优质均衡、普通高中创特提质、高等教育树标创优、职业教育产教融合的现代化教育体系，</w:t>
      </w:r>
      <w:r>
        <w:rPr>
          <w:rFonts w:hint="eastAsia"/>
        </w:rPr>
        <w:t>切实提高教育服务经济社会发展的能力，为佛山经济社会高质量发展、粤港澳大湾区极点城市、面向全球的国家制造业创新中心建设提供有力的人才和智力支持。</w:t>
      </w:r>
      <w:bookmarkStart w:id="18" w:name="_Toc102124963"/>
    </w:p>
    <w:p>
      <w:pPr>
        <w:adjustRightInd w:val="0"/>
        <w:snapToGrid w:val="0"/>
        <w:ind w:firstLine="640"/>
        <w:rPr>
          <w:rFonts w:ascii="楷体" w:hAnsi="楷体" w:eastAsia="楷体" w:cs="楷体"/>
        </w:rPr>
      </w:pPr>
      <w:r>
        <w:rPr>
          <w:rFonts w:hint="eastAsia" w:ascii="楷体" w:hAnsi="楷体" w:eastAsia="楷体" w:cs="楷体"/>
        </w:rPr>
        <w:t>（一）基础教育发展目标</w:t>
      </w:r>
      <w:bookmarkEnd w:id="18"/>
      <w:r>
        <w:rPr>
          <w:rFonts w:hint="eastAsia" w:ascii="楷体" w:hAnsi="楷体" w:eastAsia="楷体" w:cs="楷体"/>
        </w:rPr>
        <w:t>。</w:t>
      </w:r>
    </w:p>
    <w:p>
      <w:pPr>
        <w:pStyle w:val="5"/>
        <w:numPr>
          <w:ilvl w:val="0"/>
          <w:numId w:val="6"/>
        </w:numPr>
        <w:adjustRightInd w:val="0"/>
        <w:snapToGrid w:val="0"/>
        <w:ind w:firstLine="640"/>
      </w:pPr>
      <w:r>
        <w:rPr>
          <w:rFonts w:hint="eastAsia"/>
        </w:rPr>
        <w:t>学前教育发展目标。</w:t>
      </w:r>
    </w:p>
    <w:p>
      <w:pPr>
        <w:adjustRightInd w:val="0"/>
        <w:snapToGrid w:val="0"/>
        <w:ind w:firstLine="640"/>
      </w:pPr>
      <w:r>
        <w:rPr>
          <w:rFonts w:hint="eastAsia"/>
        </w:rPr>
        <w:t>扩大学前教育资源供给，优化规划布局和办园结构，推进小区配套幼儿园建设并移交区以上人民政府，构建公平发展、均衡发展、优质发展、现代化发展的学前教育。</w:t>
      </w:r>
    </w:p>
    <w:p>
      <w:pPr>
        <w:pStyle w:val="5"/>
        <w:numPr>
          <w:ilvl w:val="0"/>
          <w:numId w:val="6"/>
        </w:numPr>
        <w:adjustRightInd w:val="0"/>
        <w:snapToGrid w:val="0"/>
        <w:ind w:firstLine="640"/>
      </w:pPr>
      <w:r>
        <w:rPr>
          <w:rFonts w:hint="eastAsia"/>
        </w:rPr>
        <w:t>义务教育发展目标。</w:t>
      </w:r>
    </w:p>
    <w:p>
      <w:pPr>
        <w:adjustRightInd w:val="0"/>
        <w:snapToGrid w:val="0"/>
        <w:ind w:firstLine="640"/>
      </w:pPr>
      <w:r>
        <w:rPr>
          <w:rFonts w:hint="eastAsia"/>
        </w:rPr>
        <w:t>完善“市级统筹、以区为主”的义务教育设施空间体系，统筹推进城乡义务教育一体化发展，按标准规划和新改扩建学校，创建国家义务教育优质均衡区。</w:t>
      </w:r>
    </w:p>
    <w:p>
      <w:pPr>
        <w:pStyle w:val="5"/>
        <w:numPr>
          <w:ilvl w:val="0"/>
          <w:numId w:val="6"/>
        </w:numPr>
        <w:adjustRightInd w:val="0"/>
        <w:snapToGrid w:val="0"/>
        <w:ind w:firstLine="640"/>
      </w:pPr>
      <w:r>
        <w:rPr>
          <w:rFonts w:hint="eastAsia"/>
        </w:rPr>
        <w:t>高中阶段教育发展目标。</w:t>
      </w:r>
    </w:p>
    <w:p>
      <w:pPr>
        <w:adjustRightInd w:val="0"/>
        <w:snapToGrid w:val="0"/>
        <w:ind w:firstLine="640"/>
      </w:pPr>
      <w:r>
        <w:rPr>
          <w:rFonts w:hint="eastAsia"/>
        </w:rPr>
        <w:t>统筹规划、集约发展，按普职比基本相当结构新增高中阶段学位。统筹普通高中规划建设，匹配常住人口和义务教育学位，同步提高普通高中学位供给。</w:t>
      </w:r>
      <w:bookmarkStart w:id="19" w:name="_Toc102124964"/>
    </w:p>
    <w:p>
      <w:pPr>
        <w:adjustRightInd w:val="0"/>
        <w:snapToGrid w:val="0"/>
        <w:ind w:firstLine="640"/>
        <w:rPr>
          <w:rFonts w:ascii="楷体" w:hAnsi="楷体" w:eastAsia="楷体" w:cs="楷体"/>
        </w:rPr>
      </w:pPr>
      <w:r>
        <w:rPr>
          <w:rFonts w:hint="eastAsia" w:ascii="楷体" w:hAnsi="楷体" w:eastAsia="楷体" w:cs="楷体"/>
        </w:rPr>
        <w:t>（二）高等教育发展目标</w:t>
      </w:r>
      <w:bookmarkEnd w:id="19"/>
      <w:r>
        <w:rPr>
          <w:rFonts w:hint="eastAsia" w:ascii="楷体" w:hAnsi="楷体" w:eastAsia="楷体" w:cs="楷体"/>
        </w:rPr>
        <w:t>。</w:t>
      </w:r>
    </w:p>
    <w:p>
      <w:pPr>
        <w:adjustRightInd w:val="0"/>
        <w:snapToGrid w:val="0"/>
        <w:ind w:firstLine="640"/>
        <w:sectPr>
          <w:pgSz w:w="11906" w:h="16838"/>
          <w:pgMar w:top="1440" w:right="1800" w:bottom="1440" w:left="1800" w:header="851" w:footer="992" w:gutter="0"/>
          <w:pgNumType w:start="1"/>
          <w:cols w:space="425" w:num="1"/>
          <w:docGrid w:type="lines" w:linePitch="312" w:charSpace="0"/>
        </w:sectPr>
      </w:pPr>
      <w:r>
        <w:rPr>
          <w:rFonts w:hint="eastAsia"/>
        </w:rPr>
        <w:t>以“服务地方、服务产业”为办学导向，以优化结构为主线，以高质量发展为主题，构建高等教育和职业教育结构体系。到2025年每十万人口高等教育在校生数达1650人，到2035年每十万人口高等教育在校生数达2000人。建立部省支持、市级统筹、市区共建高等教育发展新格局，深化科教协同、产教融合，加快建设高水平高等院校，推进职业教育扩容提质，实现理工优先、服务需求、结构完善、规模适度发展。高等教育形成以市属高水平理工大学为重点，省部属高校属地化办学为支撑，研究生联合培养基地为补充的体系。职业教育形成以专业学位研究生教育为引领，职业本科教育为龙头、高等职业教育为主体、中等职业教育为基础、产教融合、普职融通的体系。</w:t>
      </w:r>
    </w:p>
    <w:p>
      <w:pPr>
        <w:pStyle w:val="3"/>
        <w:numPr>
          <w:ilvl w:val="0"/>
          <w:numId w:val="0"/>
        </w:numPr>
        <w:adjustRightInd w:val="0"/>
        <w:snapToGrid w:val="0"/>
        <w:ind w:firstLine="640" w:firstLineChars="200"/>
        <w:rPr>
          <w:b w:val="0"/>
          <w:bCs/>
        </w:rPr>
      </w:pPr>
      <w:bookmarkStart w:id="20" w:name="_Toc102124965"/>
      <w:r>
        <w:rPr>
          <w:rFonts w:hint="eastAsia"/>
          <w:b w:val="0"/>
          <w:bCs/>
        </w:rPr>
        <w:t>六、总体规划策略</w:t>
      </w:r>
      <w:bookmarkEnd w:id="20"/>
    </w:p>
    <w:p>
      <w:pPr>
        <w:pStyle w:val="19"/>
        <w:adjustRightInd w:val="0"/>
        <w:snapToGrid w:val="0"/>
        <w:ind w:firstLine="640"/>
        <w:rPr>
          <w:bCs w:val="0"/>
          <w:kern w:val="2"/>
          <w:sz w:val="32"/>
          <w:szCs w:val="22"/>
        </w:rPr>
      </w:pPr>
      <w:r>
        <w:rPr>
          <w:rFonts w:hint="eastAsia"/>
          <w:bCs w:val="0"/>
          <w:kern w:val="2"/>
          <w:sz w:val="32"/>
          <w:szCs w:val="22"/>
        </w:rPr>
        <w:t>系统研究国家、省市各级各类教育设施建设标准，制定适合佛山实际的各级各类教育设施的布局建设指标。在设施布局上充分衔接国土空间规划，</w:t>
      </w:r>
      <w:bookmarkStart w:id="21" w:name="_Toc21964694"/>
      <w:r>
        <w:rPr>
          <w:rFonts w:hint="eastAsia"/>
          <w:bCs w:val="0"/>
          <w:kern w:val="2"/>
          <w:sz w:val="32"/>
          <w:szCs w:val="22"/>
        </w:rPr>
        <w:t>根据城市总体发展定位、产业布局调整和新型城镇化建设需要，准确把握人口发展趋势，科学预测教育设施增量需求，并结合佛山市城市空间发展总体格局，统筹规划教育设施布局，合理预留教育设施发展空间资源。</w:t>
      </w:r>
      <w:bookmarkEnd w:id="21"/>
      <w:bookmarkStart w:id="22" w:name="_Toc102124966"/>
    </w:p>
    <w:p>
      <w:pPr>
        <w:pStyle w:val="19"/>
        <w:adjustRightInd w:val="0"/>
        <w:snapToGrid w:val="0"/>
        <w:ind w:firstLine="640"/>
        <w:rPr>
          <w:rFonts w:ascii="楷体" w:hAnsi="楷体" w:eastAsia="楷体" w:cs="楷体"/>
          <w:bCs w:val="0"/>
          <w:kern w:val="2"/>
          <w:sz w:val="32"/>
          <w:szCs w:val="22"/>
        </w:rPr>
      </w:pPr>
      <w:r>
        <w:rPr>
          <w:rFonts w:hint="eastAsia" w:ascii="楷体" w:hAnsi="楷体" w:eastAsia="楷体" w:cs="楷体"/>
          <w:bCs w:val="0"/>
          <w:kern w:val="2"/>
          <w:sz w:val="32"/>
          <w:szCs w:val="22"/>
        </w:rPr>
        <w:t>（一）基础教育设施规划策略</w:t>
      </w:r>
      <w:bookmarkEnd w:id="22"/>
      <w:r>
        <w:rPr>
          <w:rFonts w:hint="eastAsia" w:ascii="楷体" w:hAnsi="楷体" w:eastAsia="楷体" w:cs="楷体"/>
          <w:bCs w:val="0"/>
          <w:kern w:val="2"/>
          <w:sz w:val="32"/>
          <w:szCs w:val="22"/>
        </w:rPr>
        <w:t>。</w:t>
      </w:r>
    </w:p>
    <w:p>
      <w:pPr>
        <w:pStyle w:val="5"/>
        <w:numPr>
          <w:ilvl w:val="0"/>
          <w:numId w:val="7"/>
        </w:numPr>
        <w:adjustRightInd w:val="0"/>
        <w:snapToGrid w:val="0"/>
        <w:ind w:firstLine="640"/>
      </w:pPr>
      <w:r>
        <w:rPr>
          <w:rFonts w:hint="eastAsia"/>
        </w:rPr>
        <w:t>推进城乡学前教育与义务教育资源均衡配置。</w:t>
      </w:r>
    </w:p>
    <w:p>
      <w:pPr>
        <w:adjustRightInd w:val="0"/>
        <w:snapToGrid w:val="0"/>
        <w:ind w:firstLine="640"/>
      </w:pPr>
      <w:r>
        <w:rPr>
          <w:rFonts w:hint="eastAsia"/>
        </w:rPr>
        <w:t>学前教育与义务教育设施规划布局按照“生活圈”理念，以服务半径合理、有效配置资源为原则，结合佛山市控规管理单元的划分，采用分区统筹、总量平衡，均衡布局、查漏补缺等策略，优化各类基础教育设施布局，促进城乡资源均衡配置，实现教育设施均等化、精准化供给。</w:t>
      </w:r>
    </w:p>
    <w:p>
      <w:pPr>
        <w:pStyle w:val="5"/>
        <w:numPr>
          <w:ilvl w:val="0"/>
          <w:numId w:val="7"/>
        </w:numPr>
        <w:adjustRightInd w:val="0"/>
        <w:snapToGrid w:val="0"/>
        <w:ind w:firstLine="640"/>
      </w:pPr>
      <w:r>
        <w:rPr>
          <w:rFonts w:hint="eastAsia"/>
        </w:rPr>
        <w:t>推进高中阶段教育资源优质增量发展。</w:t>
      </w:r>
    </w:p>
    <w:p>
      <w:pPr>
        <w:adjustRightInd w:val="0"/>
        <w:snapToGrid w:val="0"/>
        <w:ind w:firstLine="640"/>
      </w:pPr>
      <w:r>
        <w:rPr>
          <w:rFonts w:hint="eastAsia"/>
        </w:rPr>
        <w:t>按照扩大增量、提高质量，适应发展、多元选择的原则，以现有优质高中阶段教育资源为基础，通过名校带动、合作办学等方式有效扩大优质普通高中教育资源覆盖面，实现空间上的优质均衡，满足各区域对优质高中资源的需求。优化职普设施比例，对接产业布局，突出地域特色，打造普通高中创特提质、职业教育产教融合的优质高中阶段教育体系。</w:t>
      </w:r>
    </w:p>
    <w:p>
      <w:pPr>
        <w:pStyle w:val="5"/>
        <w:numPr>
          <w:ilvl w:val="0"/>
          <w:numId w:val="7"/>
        </w:numPr>
        <w:adjustRightInd w:val="0"/>
        <w:snapToGrid w:val="0"/>
        <w:ind w:firstLine="640"/>
      </w:pPr>
      <w:r>
        <w:rPr>
          <w:rFonts w:hint="eastAsia"/>
        </w:rPr>
        <w:t>实行基础教育资源布局建设分类指导。</w:t>
      </w:r>
    </w:p>
    <w:p>
      <w:pPr>
        <w:adjustRightInd w:val="0"/>
        <w:snapToGrid w:val="0"/>
        <w:ind w:firstLine="640"/>
      </w:pPr>
      <w:r>
        <w:rPr>
          <w:rFonts w:hint="eastAsia"/>
        </w:rPr>
        <w:t>在制定规划指标时，既要严格按照国家相关规范执行，又要考虑实际需求与可能性，根据城市用地实际，结合学位需求与基础教育设施供给情况，划分区域，分类指导。对新城区，适当提高标准预留空间，以高标准建设教育设施促进新区发展，兼顾向城市边缘区、近郊区提供教育服务的要求；对老城区以现有空间资源挖潜为主，采取妥善措施推进教育设施空间的必要整合或置换，为教育设施的建设提供合理空间；对农村地区结合村庄布局规划优化幼儿园、中小学布局，改善办学（办园）条件。</w:t>
      </w:r>
    </w:p>
    <w:p>
      <w:pPr>
        <w:pStyle w:val="4"/>
        <w:numPr>
          <w:ilvl w:val="0"/>
          <w:numId w:val="0"/>
        </w:numPr>
        <w:adjustRightInd w:val="0"/>
        <w:snapToGrid w:val="0"/>
        <w:ind w:left="218" w:leftChars="68" w:firstLine="320" w:firstLineChars="100"/>
        <w:rPr>
          <w:b w:val="0"/>
          <w:bCs w:val="0"/>
          <w:szCs w:val="22"/>
        </w:rPr>
      </w:pPr>
      <w:bookmarkStart w:id="23" w:name="_Toc102124967"/>
      <w:r>
        <w:rPr>
          <w:rFonts w:hint="eastAsia"/>
          <w:b w:val="0"/>
          <w:bCs w:val="0"/>
          <w:szCs w:val="22"/>
        </w:rPr>
        <w:t>（二）高等教育设施规划策略</w:t>
      </w:r>
      <w:bookmarkEnd w:id="23"/>
      <w:r>
        <w:rPr>
          <w:rFonts w:hint="eastAsia"/>
          <w:b w:val="0"/>
          <w:bCs w:val="0"/>
          <w:szCs w:val="22"/>
        </w:rPr>
        <w:t>。</w:t>
      </w:r>
    </w:p>
    <w:p>
      <w:pPr>
        <w:pStyle w:val="5"/>
        <w:numPr>
          <w:ilvl w:val="0"/>
          <w:numId w:val="8"/>
        </w:numPr>
        <w:adjustRightInd w:val="0"/>
        <w:snapToGrid w:val="0"/>
        <w:ind w:firstLine="640"/>
      </w:pPr>
      <w:r>
        <w:rPr>
          <w:rFonts w:hint="eastAsia"/>
        </w:rPr>
        <w:t>统筹优化高等教育布局，引导高教资源有序集聚。</w:t>
      </w:r>
    </w:p>
    <w:p>
      <w:pPr>
        <w:adjustRightInd w:val="0"/>
        <w:snapToGrid w:val="0"/>
        <w:ind w:firstLine="640"/>
      </w:pPr>
      <w:r>
        <w:rPr>
          <w:rFonts w:hint="eastAsia"/>
        </w:rPr>
        <w:t>根据城市发展战略和区域功能定位，推动高等教育资源由散点式布局向组团式、模块化布局转变。统筹引导各区结合创新平台空间布局，形成差异化的高校科教园区，结合本区域产业定位，统筹分布科教资源，建立共建共享机制，形成高端特色、功能集约的教育设施，更好地发挥高校的人才和智力优势，促进校地融合发展。</w:t>
      </w:r>
    </w:p>
    <w:p>
      <w:pPr>
        <w:pStyle w:val="5"/>
        <w:numPr>
          <w:ilvl w:val="0"/>
          <w:numId w:val="8"/>
        </w:numPr>
        <w:adjustRightInd w:val="0"/>
        <w:snapToGrid w:val="0"/>
        <w:ind w:firstLine="640"/>
      </w:pPr>
      <w:bookmarkStart w:id="24" w:name="_Toc42590287"/>
      <w:bookmarkStart w:id="25" w:name="_Toc42589829"/>
      <w:r>
        <w:rPr>
          <w:rFonts w:hint="eastAsia"/>
        </w:rPr>
        <w:t>扩大高等教育资源规模，提升佛山高等教育整体实力</w:t>
      </w:r>
      <w:bookmarkEnd w:id="24"/>
      <w:bookmarkEnd w:id="25"/>
      <w:r>
        <w:rPr>
          <w:rFonts w:hint="eastAsia"/>
        </w:rPr>
        <w:t>。</w:t>
      </w:r>
    </w:p>
    <w:p>
      <w:pPr>
        <w:adjustRightInd w:val="0"/>
        <w:snapToGrid w:val="0"/>
        <w:ind w:firstLine="640"/>
      </w:pPr>
      <w:r>
        <w:rPr>
          <w:rFonts w:hint="eastAsia"/>
        </w:rPr>
        <w:t>紧紧围绕佛山市发展定位和经济社会发展需求，精准对接引进国内外优质高校，重点引进理工科院校，尤其是专业特色明显、应用性强、具有较好产学研合作基础的高校。形成理工优先、应用为主、结构完善、规模适度的高等教育发展格局。重点做好高校“提质升级”与</w:t>
      </w:r>
      <w:r>
        <w:t>“</w:t>
      </w:r>
      <w:r>
        <w:rPr>
          <w:rFonts w:hint="eastAsia"/>
        </w:rPr>
        <w:t>筑巢引凤</w:t>
      </w:r>
      <w:r>
        <w:t>”</w:t>
      </w:r>
      <w:r>
        <w:rPr>
          <w:rFonts w:hint="eastAsia"/>
        </w:rPr>
        <w:t>，一方面衔接十四五教育发展规划，提升每十万人在校生人数发展目标；另一方面预留高等教育设施用地，为引入高水平学府，引导高等教育集群化发展打好基础。</w:t>
      </w:r>
    </w:p>
    <w:p>
      <w:pPr>
        <w:pStyle w:val="5"/>
        <w:numPr>
          <w:ilvl w:val="0"/>
          <w:numId w:val="8"/>
        </w:numPr>
        <w:adjustRightInd w:val="0"/>
        <w:snapToGrid w:val="0"/>
        <w:ind w:firstLine="640"/>
      </w:pPr>
      <w:r>
        <w:rPr>
          <w:rFonts w:hint="eastAsia"/>
        </w:rPr>
        <w:t>促进校地全方位深度融合，建立高等教育服务体系。</w:t>
      </w:r>
    </w:p>
    <w:p>
      <w:pPr>
        <w:adjustRightInd w:val="0"/>
        <w:snapToGrid w:val="0"/>
        <w:ind w:firstLine="640"/>
      </w:pPr>
      <w:r>
        <w:rPr>
          <w:rFonts w:hint="eastAsia"/>
        </w:rPr>
        <w:t>通过健全产教融合、科教协同机制，完善校企合作协同育人平台，创建高等教育校地融合服务体系，重点提升佛山高等教育服务佛山经济发展的能力，切实将学校的教育科技人才优势转化为佛山的发展优势和竞争优势，实现高等教育与经济社会发展深度融合。深入推进高等教育机构与普通中小学、职业学校的交流合作，提高高等教育影响力，全面提升高等教育服务社会能力。</w:t>
      </w:r>
    </w:p>
    <w:p>
      <w:pPr>
        <w:adjustRightInd w:val="0"/>
        <w:snapToGrid w:val="0"/>
        <w:ind w:firstLine="640"/>
        <w:sectPr>
          <w:pgSz w:w="11906" w:h="16838"/>
          <w:pgMar w:top="1440" w:right="1800" w:bottom="1440" w:left="1800" w:header="851" w:footer="992" w:gutter="0"/>
          <w:pgNumType w:start="1"/>
          <w:cols w:space="425" w:num="1"/>
          <w:docGrid w:type="lines" w:linePitch="312" w:charSpace="0"/>
        </w:sectPr>
      </w:pPr>
    </w:p>
    <w:p>
      <w:pPr>
        <w:pStyle w:val="3"/>
        <w:numPr>
          <w:ilvl w:val="0"/>
          <w:numId w:val="0"/>
        </w:numPr>
        <w:adjustRightInd w:val="0"/>
        <w:snapToGrid w:val="0"/>
        <w:ind w:firstLine="640" w:firstLineChars="200"/>
        <w:rPr>
          <w:b w:val="0"/>
          <w:bCs/>
        </w:rPr>
      </w:pPr>
      <w:bookmarkStart w:id="26" w:name="_Toc85093735"/>
      <w:bookmarkStart w:id="27" w:name="_Toc102124968"/>
      <w:r>
        <w:rPr>
          <w:rFonts w:hint="eastAsia"/>
          <w:b w:val="0"/>
          <w:bCs/>
        </w:rPr>
        <w:t>七、教育</w:t>
      </w:r>
      <w:r>
        <w:rPr>
          <w:b w:val="0"/>
          <w:bCs/>
        </w:rPr>
        <w:t>设施</w:t>
      </w:r>
      <w:r>
        <w:rPr>
          <w:rFonts w:hint="eastAsia"/>
          <w:b w:val="0"/>
          <w:bCs/>
        </w:rPr>
        <w:t>规划标准</w:t>
      </w:r>
      <w:bookmarkEnd w:id="26"/>
      <w:bookmarkEnd w:id="27"/>
    </w:p>
    <w:p>
      <w:pPr>
        <w:pStyle w:val="4"/>
        <w:numPr>
          <w:ilvl w:val="0"/>
          <w:numId w:val="0"/>
        </w:numPr>
        <w:adjustRightInd w:val="0"/>
        <w:snapToGrid w:val="0"/>
        <w:ind w:firstLine="640" w:firstLineChars="200"/>
        <w:rPr>
          <w:b w:val="0"/>
          <w:bCs w:val="0"/>
        </w:rPr>
      </w:pPr>
      <w:bookmarkStart w:id="28" w:name="_Toc102124969"/>
      <w:r>
        <w:rPr>
          <w:rFonts w:hint="eastAsia"/>
          <w:b w:val="0"/>
          <w:bCs w:val="0"/>
        </w:rPr>
        <w:t>（一）基础教育设施规划标准</w:t>
      </w:r>
      <w:bookmarkEnd w:id="28"/>
      <w:r>
        <w:rPr>
          <w:rFonts w:hint="eastAsia"/>
          <w:b w:val="0"/>
          <w:bCs w:val="0"/>
        </w:rPr>
        <w:t>。</w:t>
      </w:r>
    </w:p>
    <w:p>
      <w:pPr>
        <w:adjustRightInd w:val="0"/>
        <w:snapToGrid w:val="0"/>
        <w:ind w:firstLine="640"/>
      </w:pPr>
      <w:r>
        <w:rPr>
          <w:rFonts w:hint="eastAsia"/>
        </w:rPr>
        <w:t>基础教育设施配套标准主要控制六项指标：千人学位数、生均用地面积、生均建筑面积、办学规模、班额及服务半径。</w:t>
      </w:r>
    </w:p>
    <w:p>
      <w:pPr>
        <w:pStyle w:val="5"/>
        <w:numPr>
          <w:ilvl w:val="0"/>
          <w:numId w:val="9"/>
        </w:numPr>
        <w:adjustRightInd w:val="0"/>
        <w:snapToGrid w:val="0"/>
        <w:ind w:firstLine="640"/>
      </w:pPr>
      <w:r>
        <w:rPr>
          <w:rFonts w:hint="eastAsia"/>
        </w:rPr>
        <w:t>千人学位数。</w:t>
      </w:r>
    </w:p>
    <w:p>
      <w:pPr>
        <w:pStyle w:val="5"/>
        <w:adjustRightInd w:val="0"/>
        <w:snapToGrid w:val="0"/>
        <w:ind w:left="640" w:leftChars="200" w:firstLine="0" w:firstLineChars="0"/>
      </w:pPr>
      <w:r>
        <w:rPr>
          <w:rFonts w:hint="eastAsia"/>
        </w:rPr>
        <w:t>幼儿园、小学、初中、高中阶段千人学位数要求见下表：</w:t>
      </w:r>
    </w:p>
    <w:p>
      <w:pPr>
        <w:pStyle w:val="8"/>
        <w:adjustRightInd w:val="0"/>
      </w:pPr>
      <w:r>
        <w:rPr>
          <w:rFonts w:hint="eastAsia"/>
        </w:rPr>
        <w:t>佛山</w:t>
      </w:r>
      <w:r>
        <w:t>市基础教育设施</w:t>
      </w:r>
      <w:r>
        <w:rPr>
          <w:rFonts w:hint="eastAsia"/>
        </w:rPr>
        <w:t>千人学位数要求表</w:t>
      </w:r>
    </w:p>
    <w:tbl>
      <w:tblPr>
        <w:tblStyle w:val="14"/>
        <w:tblW w:w="8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62"/>
        <w:gridCol w:w="4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 w:hRule="atLeast"/>
          <w:tblHeader/>
          <w:jc w:val="center"/>
        </w:trPr>
        <w:tc>
          <w:tcPr>
            <w:tcW w:w="4262" w:type="dxa"/>
            <w:shd w:val="clear" w:color="auto" w:fill="auto"/>
            <w:tcMar>
              <w:top w:w="15" w:type="dxa"/>
              <w:left w:w="15" w:type="dxa"/>
              <w:right w:w="15" w:type="dxa"/>
            </w:tcMar>
            <w:vAlign w:val="center"/>
          </w:tcPr>
          <w:p>
            <w:pPr>
              <w:pStyle w:val="34"/>
              <w:adjustRightInd w:val="0"/>
              <w:snapToGrid w:val="0"/>
              <w:spacing w:line="560" w:lineRule="exact"/>
              <w:rPr>
                <w:b/>
              </w:rPr>
            </w:pPr>
            <w:r>
              <w:rPr>
                <w:rFonts w:hint="eastAsia"/>
                <w:b/>
              </w:rPr>
              <w:t>设施类型</w:t>
            </w:r>
          </w:p>
        </w:tc>
        <w:tc>
          <w:tcPr>
            <w:tcW w:w="4062" w:type="dxa"/>
            <w:shd w:val="clear" w:color="auto" w:fill="auto"/>
            <w:tcMar>
              <w:top w:w="15" w:type="dxa"/>
              <w:left w:w="15" w:type="dxa"/>
              <w:right w:w="15" w:type="dxa"/>
            </w:tcMar>
            <w:vAlign w:val="center"/>
          </w:tcPr>
          <w:p>
            <w:pPr>
              <w:pStyle w:val="34"/>
              <w:adjustRightInd w:val="0"/>
              <w:snapToGrid w:val="0"/>
              <w:spacing w:line="560" w:lineRule="exact"/>
              <w:rPr>
                <w:b/>
              </w:rPr>
            </w:pPr>
            <w:r>
              <w:rPr>
                <w:rFonts w:hint="eastAsia"/>
                <w:b/>
              </w:rPr>
              <w:t>千人学位数（座/千人）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4262" w:type="dxa"/>
            <w:shd w:val="clear" w:color="auto" w:fill="auto"/>
            <w:tcMar>
              <w:top w:w="15" w:type="dxa"/>
              <w:left w:w="15" w:type="dxa"/>
              <w:right w:w="15" w:type="dxa"/>
            </w:tcMar>
            <w:vAlign w:val="center"/>
          </w:tcPr>
          <w:p>
            <w:pPr>
              <w:pStyle w:val="34"/>
              <w:adjustRightInd w:val="0"/>
              <w:snapToGrid w:val="0"/>
              <w:spacing w:line="560" w:lineRule="exact"/>
            </w:pPr>
            <w:r>
              <w:rPr>
                <w:rFonts w:hint="eastAsia"/>
              </w:rPr>
              <w:t>幼儿园</w:t>
            </w:r>
          </w:p>
        </w:tc>
        <w:tc>
          <w:tcPr>
            <w:tcW w:w="4062" w:type="dxa"/>
            <w:shd w:val="clear" w:color="auto" w:fill="auto"/>
            <w:tcMar>
              <w:top w:w="15" w:type="dxa"/>
              <w:left w:w="15" w:type="dxa"/>
              <w:right w:w="15" w:type="dxa"/>
            </w:tcMar>
            <w:vAlign w:val="center"/>
          </w:tcPr>
          <w:p>
            <w:pPr>
              <w:pStyle w:val="34"/>
              <w:adjustRightInd w:val="0"/>
              <w:snapToGrid w:val="0"/>
              <w:spacing w:line="560" w:lineRule="exact"/>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4262" w:type="dxa"/>
            <w:shd w:val="clear" w:color="auto" w:fill="auto"/>
            <w:tcMar>
              <w:top w:w="15" w:type="dxa"/>
              <w:left w:w="15" w:type="dxa"/>
              <w:right w:w="15" w:type="dxa"/>
            </w:tcMar>
            <w:vAlign w:val="center"/>
          </w:tcPr>
          <w:p>
            <w:pPr>
              <w:pStyle w:val="34"/>
              <w:adjustRightInd w:val="0"/>
              <w:snapToGrid w:val="0"/>
              <w:spacing w:line="560" w:lineRule="exact"/>
            </w:pPr>
            <w:r>
              <w:rPr>
                <w:rFonts w:hint="eastAsia"/>
              </w:rPr>
              <w:t>小学</w:t>
            </w:r>
          </w:p>
        </w:tc>
        <w:tc>
          <w:tcPr>
            <w:tcW w:w="4062" w:type="dxa"/>
            <w:shd w:val="clear" w:color="auto" w:fill="auto"/>
            <w:tcMar>
              <w:top w:w="15" w:type="dxa"/>
              <w:left w:w="15" w:type="dxa"/>
              <w:right w:w="15" w:type="dxa"/>
            </w:tcMar>
            <w:vAlign w:val="center"/>
          </w:tcPr>
          <w:p>
            <w:pPr>
              <w:pStyle w:val="34"/>
              <w:adjustRightInd w:val="0"/>
              <w:snapToGrid w:val="0"/>
              <w:spacing w:line="560" w:lineRule="exact"/>
            </w:pPr>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4262" w:type="dxa"/>
            <w:shd w:val="clear" w:color="auto" w:fill="auto"/>
            <w:tcMar>
              <w:top w:w="15" w:type="dxa"/>
              <w:left w:w="15" w:type="dxa"/>
              <w:right w:w="15" w:type="dxa"/>
            </w:tcMar>
            <w:vAlign w:val="center"/>
          </w:tcPr>
          <w:p>
            <w:pPr>
              <w:pStyle w:val="34"/>
              <w:adjustRightInd w:val="0"/>
              <w:snapToGrid w:val="0"/>
              <w:spacing w:line="560" w:lineRule="exact"/>
            </w:pPr>
            <w:r>
              <w:rPr>
                <w:rFonts w:hint="eastAsia"/>
              </w:rPr>
              <w:t>初中</w:t>
            </w:r>
          </w:p>
        </w:tc>
        <w:tc>
          <w:tcPr>
            <w:tcW w:w="4062" w:type="dxa"/>
            <w:shd w:val="clear" w:color="auto" w:fill="auto"/>
            <w:tcMar>
              <w:top w:w="15" w:type="dxa"/>
              <w:left w:w="15" w:type="dxa"/>
              <w:right w:w="15" w:type="dxa"/>
            </w:tcMar>
            <w:vAlign w:val="center"/>
          </w:tcPr>
          <w:p>
            <w:pPr>
              <w:pStyle w:val="34"/>
              <w:adjustRightInd w:val="0"/>
              <w:snapToGrid w:val="0"/>
              <w:spacing w:line="560" w:lineRule="exact"/>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 w:hRule="atLeast"/>
          <w:jc w:val="center"/>
        </w:trPr>
        <w:tc>
          <w:tcPr>
            <w:tcW w:w="4262" w:type="dxa"/>
            <w:shd w:val="clear" w:color="auto" w:fill="auto"/>
            <w:tcMar>
              <w:top w:w="15" w:type="dxa"/>
              <w:left w:w="15" w:type="dxa"/>
              <w:right w:w="15" w:type="dxa"/>
            </w:tcMar>
            <w:vAlign w:val="center"/>
          </w:tcPr>
          <w:p>
            <w:pPr>
              <w:pStyle w:val="34"/>
              <w:adjustRightInd w:val="0"/>
              <w:snapToGrid w:val="0"/>
              <w:spacing w:line="560" w:lineRule="exact"/>
            </w:pPr>
            <w:r>
              <w:rPr>
                <w:rFonts w:hint="eastAsia"/>
              </w:rPr>
              <w:t>普高及中职</w:t>
            </w:r>
          </w:p>
        </w:tc>
        <w:tc>
          <w:tcPr>
            <w:tcW w:w="4062" w:type="dxa"/>
            <w:shd w:val="clear" w:color="auto" w:fill="auto"/>
            <w:tcMar>
              <w:top w:w="15" w:type="dxa"/>
              <w:left w:w="15" w:type="dxa"/>
              <w:right w:w="15" w:type="dxa"/>
            </w:tcMar>
            <w:vAlign w:val="center"/>
          </w:tcPr>
          <w:p>
            <w:pPr>
              <w:pStyle w:val="34"/>
              <w:adjustRightInd w:val="0"/>
              <w:snapToGrid w:val="0"/>
              <w:spacing w:line="560" w:lineRule="exact"/>
            </w:pPr>
            <w:r>
              <w:t>40</w:t>
            </w:r>
          </w:p>
        </w:tc>
      </w:tr>
    </w:tbl>
    <w:p>
      <w:pPr>
        <w:pStyle w:val="5"/>
        <w:numPr>
          <w:ilvl w:val="0"/>
          <w:numId w:val="9"/>
        </w:numPr>
        <w:adjustRightInd w:val="0"/>
        <w:snapToGrid w:val="0"/>
        <w:ind w:firstLine="640"/>
      </w:pPr>
      <w:r>
        <w:rPr>
          <w:rFonts w:hint="eastAsia"/>
        </w:rPr>
        <w:t>生均用地面积。</w:t>
      </w:r>
    </w:p>
    <w:p>
      <w:pPr>
        <w:adjustRightInd w:val="0"/>
        <w:snapToGrid w:val="0"/>
        <w:ind w:firstLine="640"/>
      </w:pPr>
      <w:r>
        <w:rPr>
          <w:rFonts w:hint="eastAsia"/>
        </w:rPr>
        <w:t>新旧区生均用地面积标准见下表。新旧区范围划分按《佛山市城市规划管理技术规定》相关要求。</w:t>
      </w:r>
    </w:p>
    <w:p>
      <w:pPr>
        <w:pStyle w:val="8"/>
        <w:adjustRightInd w:val="0"/>
      </w:pPr>
      <w:r>
        <w:rPr>
          <w:rFonts w:hint="eastAsia"/>
        </w:rPr>
        <w:t>佛山</w:t>
      </w:r>
      <w:r>
        <w:t>市基础教育设施</w:t>
      </w:r>
      <w:r>
        <w:rPr>
          <w:rFonts w:hint="eastAsia"/>
        </w:rPr>
        <w:t>生均用地面积标准表</w:t>
      </w:r>
    </w:p>
    <w:tbl>
      <w:tblPr>
        <w:tblStyle w:val="14"/>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38"/>
        <w:gridCol w:w="1418"/>
        <w:gridCol w:w="1724"/>
        <w:gridCol w:w="1819"/>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tblHeader/>
          <w:jc w:val="center"/>
        </w:trPr>
        <w:tc>
          <w:tcPr>
            <w:tcW w:w="1838" w:type="dxa"/>
            <w:vMerge w:val="restart"/>
            <w:shd w:val="clear" w:color="auto" w:fill="auto"/>
            <w:tcMar>
              <w:top w:w="15" w:type="dxa"/>
              <w:left w:w="15" w:type="dxa"/>
              <w:right w:w="15" w:type="dxa"/>
            </w:tcMar>
            <w:vAlign w:val="center"/>
          </w:tcPr>
          <w:p>
            <w:pPr>
              <w:pStyle w:val="34"/>
              <w:adjustRightInd w:val="0"/>
              <w:snapToGrid w:val="0"/>
              <w:spacing w:line="560" w:lineRule="exact"/>
              <w:rPr>
                <w:b/>
              </w:rPr>
            </w:pPr>
            <w:r>
              <w:rPr>
                <w:rFonts w:hint="eastAsia"/>
                <w:b/>
              </w:rPr>
              <w:t>设施类型</w:t>
            </w:r>
          </w:p>
        </w:tc>
        <w:tc>
          <w:tcPr>
            <w:tcW w:w="6466" w:type="dxa"/>
            <w:gridSpan w:val="4"/>
            <w:shd w:val="clear" w:color="auto" w:fill="auto"/>
            <w:tcMar>
              <w:top w:w="15" w:type="dxa"/>
              <w:left w:w="15" w:type="dxa"/>
              <w:right w:w="15" w:type="dxa"/>
            </w:tcMar>
            <w:vAlign w:val="center"/>
          </w:tcPr>
          <w:p>
            <w:pPr>
              <w:pStyle w:val="34"/>
              <w:adjustRightInd w:val="0"/>
              <w:snapToGrid w:val="0"/>
              <w:spacing w:line="560" w:lineRule="exact"/>
              <w:rPr>
                <w:b/>
                <w:kern w:val="0"/>
              </w:rPr>
            </w:pPr>
            <w:r>
              <w:rPr>
                <w:rFonts w:hint="eastAsia"/>
                <w:b/>
                <w:kern w:val="0"/>
              </w:rPr>
              <w:t>生均用地面积（</w:t>
            </w:r>
            <w:r>
              <w:rPr>
                <w:rFonts w:ascii="Segoe UI Symbol" w:hAnsi="Segoe UI Symbol" w:cs="Segoe UI Symbol"/>
                <w:b/>
                <w:kern w:val="0"/>
              </w:rPr>
              <w:t>㎡</w:t>
            </w:r>
            <w:r>
              <w:rPr>
                <w:rFonts w:hint="eastAsia"/>
                <w:b/>
                <w:kern w:val="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tblHeader/>
          <w:jc w:val="center"/>
        </w:trPr>
        <w:tc>
          <w:tcPr>
            <w:tcW w:w="1838" w:type="dxa"/>
            <w:vMerge w:val="continue"/>
            <w:shd w:val="clear" w:color="auto" w:fill="auto"/>
            <w:tcMar>
              <w:top w:w="15" w:type="dxa"/>
              <w:left w:w="15" w:type="dxa"/>
              <w:right w:w="15" w:type="dxa"/>
            </w:tcMar>
            <w:vAlign w:val="center"/>
          </w:tcPr>
          <w:p>
            <w:pPr>
              <w:pStyle w:val="34"/>
              <w:adjustRightInd w:val="0"/>
              <w:snapToGrid w:val="0"/>
              <w:spacing w:line="560" w:lineRule="exact"/>
              <w:rPr>
                <w:b/>
              </w:rPr>
            </w:pPr>
          </w:p>
        </w:tc>
        <w:tc>
          <w:tcPr>
            <w:tcW w:w="1418" w:type="dxa"/>
            <w:vMerge w:val="restart"/>
            <w:shd w:val="clear" w:color="auto" w:fill="auto"/>
            <w:tcMar>
              <w:top w:w="15" w:type="dxa"/>
              <w:left w:w="15" w:type="dxa"/>
              <w:right w:w="15" w:type="dxa"/>
            </w:tcMar>
            <w:vAlign w:val="center"/>
          </w:tcPr>
          <w:p>
            <w:pPr>
              <w:pStyle w:val="34"/>
              <w:adjustRightInd w:val="0"/>
              <w:snapToGrid w:val="0"/>
              <w:spacing w:line="560" w:lineRule="exact"/>
              <w:rPr>
                <w:b/>
              </w:rPr>
            </w:pPr>
            <w:r>
              <w:rPr>
                <w:rFonts w:hint="eastAsia"/>
                <w:b/>
                <w:kern w:val="0"/>
              </w:rPr>
              <w:t>新区</w:t>
            </w:r>
          </w:p>
        </w:tc>
        <w:tc>
          <w:tcPr>
            <w:tcW w:w="5048" w:type="dxa"/>
            <w:gridSpan w:val="3"/>
            <w:shd w:val="clear" w:color="auto" w:fill="auto"/>
            <w:tcMar>
              <w:top w:w="15" w:type="dxa"/>
              <w:left w:w="15" w:type="dxa"/>
              <w:right w:w="15" w:type="dxa"/>
            </w:tcMar>
            <w:vAlign w:val="center"/>
          </w:tcPr>
          <w:p>
            <w:pPr>
              <w:pStyle w:val="34"/>
              <w:adjustRightInd w:val="0"/>
              <w:snapToGrid w:val="0"/>
              <w:spacing w:line="560" w:lineRule="exact"/>
              <w:rPr>
                <w:b/>
              </w:rPr>
            </w:pPr>
            <w:r>
              <w:rPr>
                <w:rFonts w:hint="eastAsia"/>
                <w:b/>
                <w:kern w:val="0"/>
              </w:rPr>
              <w:t>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tblHeader/>
          <w:jc w:val="center"/>
        </w:trPr>
        <w:tc>
          <w:tcPr>
            <w:tcW w:w="1838" w:type="dxa"/>
            <w:vMerge w:val="continue"/>
            <w:shd w:val="clear" w:color="auto" w:fill="auto"/>
            <w:tcMar>
              <w:top w:w="15" w:type="dxa"/>
              <w:left w:w="15" w:type="dxa"/>
              <w:right w:w="15" w:type="dxa"/>
            </w:tcMar>
            <w:vAlign w:val="center"/>
          </w:tcPr>
          <w:p>
            <w:pPr>
              <w:pStyle w:val="34"/>
              <w:adjustRightInd w:val="0"/>
              <w:snapToGrid w:val="0"/>
              <w:spacing w:line="560" w:lineRule="exact"/>
              <w:rPr>
                <w:b/>
              </w:rPr>
            </w:pPr>
          </w:p>
        </w:tc>
        <w:tc>
          <w:tcPr>
            <w:tcW w:w="1418" w:type="dxa"/>
            <w:vMerge w:val="continue"/>
            <w:shd w:val="clear" w:color="auto" w:fill="auto"/>
            <w:tcMar>
              <w:top w:w="15" w:type="dxa"/>
              <w:left w:w="15" w:type="dxa"/>
              <w:right w:w="15" w:type="dxa"/>
            </w:tcMar>
            <w:vAlign w:val="center"/>
          </w:tcPr>
          <w:p>
            <w:pPr>
              <w:pStyle w:val="34"/>
              <w:adjustRightInd w:val="0"/>
              <w:snapToGrid w:val="0"/>
              <w:spacing w:line="560" w:lineRule="exact"/>
              <w:rPr>
                <w:b/>
              </w:rPr>
            </w:pPr>
          </w:p>
        </w:tc>
        <w:tc>
          <w:tcPr>
            <w:tcW w:w="3543" w:type="dxa"/>
            <w:gridSpan w:val="2"/>
            <w:shd w:val="clear" w:color="auto" w:fill="auto"/>
            <w:tcMar>
              <w:top w:w="15" w:type="dxa"/>
              <w:left w:w="15" w:type="dxa"/>
              <w:right w:w="15" w:type="dxa"/>
            </w:tcMar>
            <w:vAlign w:val="center"/>
          </w:tcPr>
          <w:p>
            <w:pPr>
              <w:pStyle w:val="34"/>
              <w:adjustRightInd w:val="0"/>
              <w:snapToGrid w:val="0"/>
              <w:spacing w:line="560" w:lineRule="exact"/>
              <w:rPr>
                <w:b/>
              </w:rPr>
            </w:pPr>
            <w:r>
              <w:rPr>
                <w:rFonts w:hint="eastAsia"/>
                <w:b/>
                <w:kern w:val="0"/>
              </w:rPr>
              <w:t>规划新建</w:t>
            </w:r>
          </w:p>
        </w:tc>
        <w:tc>
          <w:tcPr>
            <w:tcW w:w="1505" w:type="dxa"/>
            <w:vMerge w:val="restart"/>
            <w:shd w:val="clear" w:color="auto" w:fill="auto"/>
            <w:tcMar>
              <w:top w:w="15" w:type="dxa"/>
              <w:left w:w="15" w:type="dxa"/>
              <w:right w:w="15" w:type="dxa"/>
            </w:tcMar>
            <w:vAlign w:val="center"/>
          </w:tcPr>
          <w:p>
            <w:pPr>
              <w:pStyle w:val="34"/>
              <w:adjustRightInd w:val="0"/>
              <w:snapToGrid w:val="0"/>
              <w:spacing w:line="560" w:lineRule="exact"/>
              <w:rPr>
                <w:b/>
              </w:rPr>
            </w:pPr>
            <w:r>
              <w:rPr>
                <w:rFonts w:hint="eastAsia"/>
                <w:b/>
                <w:kern w:val="0"/>
              </w:rPr>
              <w:t>现状保留/原址改扩建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blHeader/>
          <w:jc w:val="center"/>
        </w:trPr>
        <w:tc>
          <w:tcPr>
            <w:tcW w:w="1838" w:type="dxa"/>
            <w:vMerge w:val="continue"/>
            <w:shd w:val="clear" w:color="auto" w:fill="auto"/>
            <w:tcMar>
              <w:top w:w="15" w:type="dxa"/>
              <w:left w:w="15" w:type="dxa"/>
              <w:right w:w="15" w:type="dxa"/>
            </w:tcMar>
            <w:vAlign w:val="center"/>
          </w:tcPr>
          <w:p>
            <w:pPr>
              <w:pStyle w:val="34"/>
              <w:adjustRightInd w:val="0"/>
              <w:snapToGrid w:val="0"/>
              <w:spacing w:line="560" w:lineRule="exact"/>
              <w:rPr>
                <w:bCs/>
              </w:rPr>
            </w:pPr>
          </w:p>
        </w:tc>
        <w:tc>
          <w:tcPr>
            <w:tcW w:w="1418" w:type="dxa"/>
            <w:vMerge w:val="continue"/>
            <w:shd w:val="clear" w:color="auto" w:fill="auto"/>
            <w:tcMar>
              <w:top w:w="15" w:type="dxa"/>
              <w:left w:w="15" w:type="dxa"/>
              <w:right w:w="15" w:type="dxa"/>
            </w:tcMar>
            <w:vAlign w:val="center"/>
          </w:tcPr>
          <w:p>
            <w:pPr>
              <w:pStyle w:val="34"/>
              <w:adjustRightInd w:val="0"/>
              <w:snapToGrid w:val="0"/>
              <w:spacing w:line="560" w:lineRule="exact"/>
            </w:pPr>
          </w:p>
        </w:tc>
        <w:tc>
          <w:tcPr>
            <w:tcW w:w="1724" w:type="dxa"/>
            <w:shd w:val="clear" w:color="auto" w:fill="auto"/>
            <w:tcMar>
              <w:top w:w="15" w:type="dxa"/>
              <w:left w:w="15" w:type="dxa"/>
              <w:right w:w="15" w:type="dxa"/>
            </w:tcMar>
            <w:vAlign w:val="center"/>
          </w:tcPr>
          <w:p>
            <w:pPr>
              <w:pStyle w:val="34"/>
              <w:adjustRightInd w:val="0"/>
              <w:snapToGrid w:val="0"/>
              <w:spacing w:line="560" w:lineRule="exact"/>
              <w:rPr>
                <w:b/>
              </w:rPr>
            </w:pPr>
            <w:r>
              <w:rPr>
                <w:rFonts w:hint="eastAsia"/>
                <w:b/>
                <w:kern w:val="0"/>
              </w:rPr>
              <w:t>办学规模在标准规模以下</w:t>
            </w:r>
          </w:p>
        </w:tc>
        <w:tc>
          <w:tcPr>
            <w:tcW w:w="1819" w:type="dxa"/>
            <w:shd w:val="clear" w:color="auto" w:fill="auto"/>
            <w:tcMar>
              <w:top w:w="15" w:type="dxa"/>
              <w:left w:w="15" w:type="dxa"/>
              <w:right w:w="15" w:type="dxa"/>
            </w:tcMar>
            <w:vAlign w:val="center"/>
          </w:tcPr>
          <w:p>
            <w:pPr>
              <w:pStyle w:val="34"/>
              <w:adjustRightInd w:val="0"/>
              <w:snapToGrid w:val="0"/>
              <w:spacing w:line="560" w:lineRule="exact"/>
              <w:rPr>
                <w:b/>
              </w:rPr>
            </w:pPr>
            <w:r>
              <w:rPr>
                <w:rFonts w:hint="eastAsia"/>
                <w:b/>
                <w:kern w:val="0"/>
              </w:rPr>
              <w:t>办学规模为标准规模及以上</w:t>
            </w:r>
          </w:p>
        </w:tc>
        <w:tc>
          <w:tcPr>
            <w:tcW w:w="1505" w:type="dxa"/>
            <w:vMerge w:val="continue"/>
            <w:shd w:val="clear" w:color="auto" w:fill="auto"/>
            <w:tcMar>
              <w:top w:w="15" w:type="dxa"/>
              <w:left w:w="15" w:type="dxa"/>
              <w:right w:w="15" w:type="dxa"/>
            </w:tcMar>
            <w:vAlign w:val="center"/>
          </w:tcPr>
          <w:p>
            <w:pPr>
              <w:pStyle w:val="34"/>
              <w:adjustRightInd w:val="0"/>
              <w:snapToGrid w:val="0"/>
              <w:spacing w:line="560" w:lineRule="exac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1838" w:type="dxa"/>
            <w:shd w:val="clear" w:color="auto" w:fill="auto"/>
            <w:tcMar>
              <w:top w:w="15" w:type="dxa"/>
              <w:left w:w="15" w:type="dxa"/>
              <w:right w:w="15" w:type="dxa"/>
            </w:tcMar>
            <w:vAlign w:val="center"/>
          </w:tcPr>
          <w:p>
            <w:pPr>
              <w:pStyle w:val="34"/>
              <w:adjustRightInd w:val="0"/>
              <w:snapToGrid w:val="0"/>
              <w:spacing w:line="560" w:lineRule="exact"/>
            </w:pPr>
            <w:r>
              <w:rPr>
                <w:rFonts w:hint="eastAsia"/>
                <w:kern w:val="0"/>
              </w:rPr>
              <w:t>幼儿园</w:t>
            </w:r>
          </w:p>
        </w:tc>
        <w:tc>
          <w:tcPr>
            <w:tcW w:w="1418" w:type="dxa"/>
            <w:shd w:val="clear" w:color="auto" w:fill="auto"/>
            <w:tcMar>
              <w:top w:w="15" w:type="dxa"/>
              <w:left w:w="15" w:type="dxa"/>
              <w:right w:w="15" w:type="dxa"/>
            </w:tcMar>
            <w:vAlign w:val="center"/>
          </w:tcPr>
          <w:p>
            <w:pPr>
              <w:pStyle w:val="34"/>
              <w:adjustRightInd w:val="0"/>
              <w:snapToGrid w:val="0"/>
              <w:spacing w:line="560" w:lineRule="exact"/>
              <w:rPr>
                <w:bCs/>
              </w:rPr>
            </w:pPr>
            <w:r>
              <w:rPr>
                <w:rFonts w:hint="eastAsia"/>
                <w:bCs/>
                <w:kern w:val="0"/>
              </w:rPr>
              <w:t>≥14</w:t>
            </w:r>
          </w:p>
        </w:tc>
        <w:tc>
          <w:tcPr>
            <w:tcW w:w="3543" w:type="dxa"/>
            <w:gridSpan w:val="2"/>
            <w:shd w:val="clear" w:color="auto" w:fill="auto"/>
            <w:tcMar>
              <w:top w:w="15" w:type="dxa"/>
              <w:left w:w="15" w:type="dxa"/>
              <w:right w:w="15" w:type="dxa"/>
            </w:tcMar>
            <w:vAlign w:val="center"/>
          </w:tcPr>
          <w:p>
            <w:pPr>
              <w:pStyle w:val="34"/>
              <w:adjustRightInd w:val="0"/>
              <w:snapToGrid w:val="0"/>
              <w:spacing w:line="560" w:lineRule="exact"/>
              <w:rPr>
                <w:bCs/>
              </w:rPr>
            </w:pPr>
            <w:r>
              <w:rPr>
                <w:rFonts w:hint="eastAsia"/>
                <w:bCs/>
                <w:kern w:val="0"/>
              </w:rPr>
              <w:t>≥14</w:t>
            </w:r>
          </w:p>
        </w:tc>
        <w:tc>
          <w:tcPr>
            <w:tcW w:w="1505" w:type="dxa"/>
            <w:shd w:val="clear" w:color="auto" w:fill="auto"/>
            <w:vAlign w:val="center"/>
          </w:tcPr>
          <w:p>
            <w:pPr>
              <w:pStyle w:val="34"/>
              <w:adjustRightInd w:val="0"/>
              <w:snapToGrid w:val="0"/>
              <w:spacing w:line="560" w:lineRule="exact"/>
              <w:rPr>
                <w:bCs/>
              </w:rPr>
            </w:pPr>
            <w:r>
              <w:rPr>
                <w:rFonts w:hint="eastAsia"/>
                <w:bCs/>
                <w:kern w:val="0"/>
              </w:rPr>
              <w:t>≥1</w:t>
            </w:r>
            <w:r>
              <w:rPr>
                <w:bCs/>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1838" w:type="dxa"/>
            <w:shd w:val="clear" w:color="auto" w:fill="auto"/>
            <w:tcMar>
              <w:top w:w="15" w:type="dxa"/>
              <w:left w:w="15" w:type="dxa"/>
              <w:right w:w="15" w:type="dxa"/>
            </w:tcMar>
            <w:vAlign w:val="center"/>
          </w:tcPr>
          <w:p>
            <w:pPr>
              <w:pStyle w:val="34"/>
              <w:adjustRightInd w:val="0"/>
              <w:snapToGrid w:val="0"/>
              <w:spacing w:line="560" w:lineRule="exact"/>
            </w:pPr>
            <w:r>
              <w:rPr>
                <w:rFonts w:hint="eastAsia"/>
                <w:kern w:val="0"/>
              </w:rPr>
              <w:t>小学</w:t>
            </w:r>
          </w:p>
        </w:tc>
        <w:tc>
          <w:tcPr>
            <w:tcW w:w="1418" w:type="dxa"/>
            <w:shd w:val="clear" w:color="auto" w:fill="auto"/>
            <w:tcMar>
              <w:top w:w="15" w:type="dxa"/>
              <w:left w:w="15" w:type="dxa"/>
              <w:right w:w="15" w:type="dxa"/>
            </w:tcMar>
            <w:vAlign w:val="center"/>
          </w:tcPr>
          <w:p>
            <w:pPr>
              <w:pStyle w:val="34"/>
              <w:adjustRightInd w:val="0"/>
              <w:snapToGrid w:val="0"/>
              <w:spacing w:line="560" w:lineRule="exact"/>
              <w:rPr>
                <w:bCs/>
              </w:rPr>
            </w:pPr>
            <w:r>
              <w:rPr>
                <w:rFonts w:hint="eastAsia"/>
                <w:bCs/>
                <w:kern w:val="0"/>
              </w:rPr>
              <w:t>≥18</w:t>
            </w:r>
          </w:p>
        </w:tc>
        <w:tc>
          <w:tcPr>
            <w:tcW w:w="1724" w:type="dxa"/>
            <w:shd w:val="clear" w:color="auto" w:fill="auto"/>
            <w:tcMar>
              <w:top w:w="15" w:type="dxa"/>
              <w:left w:w="15" w:type="dxa"/>
              <w:right w:w="15" w:type="dxa"/>
            </w:tcMar>
            <w:vAlign w:val="center"/>
          </w:tcPr>
          <w:p>
            <w:pPr>
              <w:pStyle w:val="34"/>
              <w:adjustRightInd w:val="0"/>
              <w:snapToGrid w:val="0"/>
              <w:spacing w:line="560" w:lineRule="exact"/>
              <w:rPr>
                <w:bCs/>
              </w:rPr>
            </w:pPr>
            <w:r>
              <w:rPr>
                <w:rFonts w:hint="eastAsia"/>
                <w:bCs/>
                <w:kern w:val="0"/>
              </w:rPr>
              <w:t>≥18</w:t>
            </w:r>
          </w:p>
        </w:tc>
        <w:tc>
          <w:tcPr>
            <w:tcW w:w="1819" w:type="dxa"/>
            <w:shd w:val="clear" w:color="auto" w:fill="auto"/>
            <w:tcMar>
              <w:top w:w="15" w:type="dxa"/>
              <w:left w:w="15" w:type="dxa"/>
              <w:right w:w="15" w:type="dxa"/>
            </w:tcMar>
            <w:vAlign w:val="center"/>
          </w:tcPr>
          <w:p>
            <w:pPr>
              <w:pStyle w:val="34"/>
              <w:adjustRightInd w:val="0"/>
              <w:snapToGrid w:val="0"/>
              <w:spacing w:line="560" w:lineRule="exact"/>
              <w:rPr>
                <w:bCs/>
              </w:rPr>
            </w:pPr>
            <w:r>
              <w:rPr>
                <w:rFonts w:hint="eastAsia"/>
                <w:bCs/>
                <w:kern w:val="0"/>
              </w:rPr>
              <w:t>≥12-15</w:t>
            </w:r>
          </w:p>
        </w:tc>
        <w:tc>
          <w:tcPr>
            <w:tcW w:w="1505" w:type="dxa"/>
            <w:shd w:val="clear" w:color="auto" w:fill="auto"/>
            <w:tcMar>
              <w:top w:w="15" w:type="dxa"/>
              <w:left w:w="15" w:type="dxa"/>
              <w:right w:w="15" w:type="dxa"/>
            </w:tcMar>
            <w:vAlign w:val="center"/>
          </w:tcPr>
          <w:p>
            <w:pPr>
              <w:pStyle w:val="34"/>
              <w:adjustRightInd w:val="0"/>
              <w:snapToGrid w:val="0"/>
              <w:spacing w:line="560" w:lineRule="exact"/>
              <w:rPr>
                <w:bCs/>
              </w:rPr>
            </w:pPr>
            <w:r>
              <w:rPr>
                <w:rFonts w:hint="eastAsia"/>
                <w:bCs/>
                <w:kern w:val="0"/>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1838" w:type="dxa"/>
            <w:shd w:val="clear" w:color="auto" w:fill="auto"/>
            <w:tcMar>
              <w:top w:w="15" w:type="dxa"/>
              <w:left w:w="15" w:type="dxa"/>
              <w:right w:w="15" w:type="dxa"/>
            </w:tcMar>
            <w:vAlign w:val="center"/>
          </w:tcPr>
          <w:p>
            <w:pPr>
              <w:pStyle w:val="34"/>
              <w:adjustRightInd w:val="0"/>
              <w:snapToGrid w:val="0"/>
              <w:spacing w:line="560" w:lineRule="exact"/>
            </w:pPr>
            <w:r>
              <w:rPr>
                <w:rFonts w:hint="eastAsia"/>
                <w:kern w:val="0"/>
              </w:rPr>
              <w:t>初中</w:t>
            </w:r>
          </w:p>
        </w:tc>
        <w:tc>
          <w:tcPr>
            <w:tcW w:w="1418" w:type="dxa"/>
            <w:shd w:val="clear" w:color="auto" w:fill="auto"/>
            <w:tcMar>
              <w:top w:w="15" w:type="dxa"/>
              <w:left w:w="15" w:type="dxa"/>
              <w:right w:w="15" w:type="dxa"/>
            </w:tcMar>
            <w:vAlign w:val="center"/>
          </w:tcPr>
          <w:p>
            <w:pPr>
              <w:pStyle w:val="34"/>
              <w:adjustRightInd w:val="0"/>
              <w:snapToGrid w:val="0"/>
              <w:spacing w:line="560" w:lineRule="exact"/>
              <w:rPr>
                <w:bCs/>
              </w:rPr>
            </w:pPr>
            <w:r>
              <w:rPr>
                <w:rFonts w:hint="eastAsia"/>
                <w:bCs/>
                <w:kern w:val="0"/>
              </w:rPr>
              <w:t>≥23</w:t>
            </w:r>
          </w:p>
        </w:tc>
        <w:tc>
          <w:tcPr>
            <w:tcW w:w="1724" w:type="dxa"/>
            <w:shd w:val="clear" w:color="auto" w:fill="auto"/>
            <w:tcMar>
              <w:top w:w="15" w:type="dxa"/>
              <w:left w:w="15" w:type="dxa"/>
              <w:right w:w="15" w:type="dxa"/>
            </w:tcMar>
            <w:vAlign w:val="center"/>
          </w:tcPr>
          <w:p>
            <w:pPr>
              <w:pStyle w:val="34"/>
              <w:adjustRightInd w:val="0"/>
              <w:snapToGrid w:val="0"/>
              <w:spacing w:line="560" w:lineRule="exact"/>
              <w:rPr>
                <w:bCs/>
              </w:rPr>
            </w:pPr>
            <w:r>
              <w:rPr>
                <w:rFonts w:hint="eastAsia"/>
                <w:bCs/>
                <w:kern w:val="0"/>
              </w:rPr>
              <w:t>≥23</w:t>
            </w:r>
          </w:p>
        </w:tc>
        <w:tc>
          <w:tcPr>
            <w:tcW w:w="1819" w:type="dxa"/>
            <w:shd w:val="clear" w:color="auto" w:fill="auto"/>
            <w:tcMar>
              <w:top w:w="15" w:type="dxa"/>
              <w:left w:w="15" w:type="dxa"/>
              <w:right w:w="15" w:type="dxa"/>
            </w:tcMar>
            <w:vAlign w:val="center"/>
          </w:tcPr>
          <w:p>
            <w:pPr>
              <w:pStyle w:val="34"/>
              <w:adjustRightInd w:val="0"/>
              <w:snapToGrid w:val="0"/>
              <w:spacing w:line="560" w:lineRule="exact"/>
              <w:rPr>
                <w:bCs/>
              </w:rPr>
            </w:pPr>
            <w:r>
              <w:rPr>
                <w:rFonts w:hint="eastAsia"/>
                <w:bCs/>
                <w:kern w:val="0"/>
              </w:rPr>
              <w:t>≥15-18</w:t>
            </w:r>
          </w:p>
        </w:tc>
        <w:tc>
          <w:tcPr>
            <w:tcW w:w="1505" w:type="dxa"/>
            <w:shd w:val="clear" w:color="auto" w:fill="auto"/>
            <w:tcMar>
              <w:top w:w="15" w:type="dxa"/>
              <w:left w:w="15" w:type="dxa"/>
              <w:right w:w="15" w:type="dxa"/>
            </w:tcMar>
            <w:vAlign w:val="center"/>
          </w:tcPr>
          <w:p>
            <w:pPr>
              <w:pStyle w:val="34"/>
              <w:adjustRightInd w:val="0"/>
              <w:snapToGrid w:val="0"/>
              <w:spacing w:line="560" w:lineRule="exact"/>
              <w:rPr>
                <w:bCs/>
              </w:rPr>
            </w:pPr>
            <w:r>
              <w:rPr>
                <w:rFonts w:hint="eastAsia"/>
                <w:bCs/>
                <w:kern w:val="0"/>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1838" w:type="dxa"/>
            <w:shd w:val="clear" w:color="auto" w:fill="auto"/>
            <w:tcMar>
              <w:top w:w="15" w:type="dxa"/>
              <w:left w:w="15" w:type="dxa"/>
              <w:right w:w="15" w:type="dxa"/>
            </w:tcMar>
            <w:vAlign w:val="center"/>
          </w:tcPr>
          <w:p>
            <w:pPr>
              <w:pStyle w:val="34"/>
              <w:adjustRightInd w:val="0"/>
              <w:snapToGrid w:val="0"/>
              <w:spacing w:line="560" w:lineRule="exact"/>
            </w:pPr>
            <w:r>
              <w:rPr>
                <w:rFonts w:hint="eastAsia"/>
                <w:kern w:val="0"/>
              </w:rPr>
              <w:t>九年一贯制</w:t>
            </w:r>
          </w:p>
        </w:tc>
        <w:tc>
          <w:tcPr>
            <w:tcW w:w="1418" w:type="dxa"/>
            <w:shd w:val="clear" w:color="auto" w:fill="auto"/>
            <w:tcMar>
              <w:top w:w="15" w:type="dxa"/>
              <w:left w:w="15" w:type="dxa"/>
              <w:right w:w="15" w:type="dxa"/>
            </w:tcMar>
            <w:vAlign w:val="center"/>
          </w:tcPr>
          <w:p>
            <w:pPr>
              <w:pStyle w:val="34"/>
              <w:adjustRightInd w:val="0"/>
              <w:snapToGrid w:val="0"/>
              <w:spacing w:line="560" w:lineRule="exact"/>
              <w:rPr>
                <w:bCs/>
              </w:rPr>
            </w:pPr>
            <w:r>
              <w:rPr>
                <w:rFonts w:hint="eastAsia"/>
                <w:bCs/>
                <w:kern w:val="0"/>
              </w:rPr>
              <w:t>≥20</w:t>
            </w:r>
          </w:p>
        </w:tc>
        <w:tc>
          <w:tcPr>
            <w:tcW w:w="1724" w:type="dxa"/>
            <w:shd w:val="clear" w:color="auto" w:fill="auto"/>
            <w:tcMar>
              <w:top w:w="15" w:type="dxa"/>
              <w:left w:w="15" w:type="dxa"/>
              <w:right w:w="15" w:type="dxa"/>
            </w:tcMar>
            <w:vAlign w:val="center"/>
          </w:tcPr>
          <w:p>
            <w:pPr>
              <w:pStyle w:val="34"/>
              <w:adjustRightInd w:val="0"/>
              <w:snapToGrid w:val="0"/>
              <w:spacing w:line="560" w:lineRule="exact"/>
              <w:rPr>
                <w:bCs/>
              </w:rPr>
            </w:pPr>
            <w:r>
              <w:rPr>
                <w:rFonts w:hint="eastAsia"/>
                <w:bCs/>
                <w:kern w:val="0"/>
              </w:rPr>
              <w:t>≥20</w:t>
            </w:r>
          </w:p>
        </w:tc>
        <w:tc>
          <w:tcPr>
            <w:tcW w:w="1819" w:type="dxa"/>
            <w:shd w:val="clear" w:color="auto" w:fill="auto"/>
            <w:tcMar>
              <w:top w:w="15" w:type="dxa"/>
              <w:left w:w="15" w:type="dxa"/>
              <w:right w:w="15" w:type="dxa"/>
            </w:tcMar>
            <w:vAlign w:val="center"/>
          </w:tcPr>
          <w:p>
            <w:pPr>
              <w:pStyle w:val="34"/>
              <w:adjustRightInd w:val="0"/>
              <w:snapToGrid w:val="0"/>
              <w:spacing w:line="560" w:lineRule="exact"/>
              <w:rPr>
                <w:bCs/>
              </w:rPr>
            </w:pPr>
            <w:r>
              <w:rPr>
                <w:rFonts w:hint="eastAsia"/>
                <w:bCs/>
                <w:kern w:val="0"/>
              </w:rPr>
              <w:t>≥13-16</w:t>
            </w:r>
          </w:p>
        </w:tc>
        <w:tc>
          <w:tcPr>
            <w:tcW w:w="1505" w:type="dxa"/>
            <w:shd w:val="clear" w:color="auto" w:fill="auto"/>
            <w:tcMar>
              <w:top w:w="15" w:type="dxa"/>
              <w:left w:w="15" w:type="dxa"/>
              <w:right w:w="15" w:type="dxa"/>
            </w:tcMar>
            <w:vAlign w:val="center"/>
          </w:tcPr>
          <w:p>
            <w:pPr>
              <w:pStyle w:val="34"/>
              <w:adjustRightInd w:val="0"/>
              <w:snapToGrid w:val="0"/>
              <w:spacing w:line="560" w:lineRule="exact"/>
              <w:rPr>
                <w:bCs/>
              </w:rPr>
            </w:pPr>
            <w:r>
              <w:rPr>
                <w:rFonts w:hint="eastAsia"/>
                <w:bCs/>
                <w:kern w:val="0"/>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1838" w:type="dxa"/>
            <w:shd w:val="clear" w:color="auto" w:fill="auto"/>
            <w:tcMar>
              <w:top w:w="15" w:type="dxa"/>
              <w:left w:w="15" w:type="dxa"/>
              <w:right w:w="15" w:type="dxa"/>
            </w:tcMar>
            <w:vAlign w:val="center"/>
          </w:tcPr>
          <w:p>
            <w:pPr>
              <w:pStyle w:val="34"/>
              <w:adjustRightInd w:val="0"/>
              <w:snapToGrid w:val="0"/>
              <w:spacing w:line="560" w:lineRule="exact"/>
            </w:pPr>
            <w:r>
              <w:rPr>
                <w:rFonts w:hint="eastAsia"/>
              </w:rPr>
              <w:t>普高及中职</w:t>
            </w:r>
          </w:p>
        </w:tc>
        <w:tc>
          <w:tcPr>
            <w:tcW w:w="1418" w:type="dxa"/>
            <w:shd w:val="clear" w:color="auto" w:fill="auto"/>
            <w:tcMar>
              <w:top w:w="15" w:type="dxa"/>
              <w:left w:w="15" w:type="dxa"/>
              <w:right w:w="15" w:type="dxa"/>
            </w:tcMar>
            <w:vAlign w:val="center"/>
          </w:tcPr>
          <w:p>
            <w:pPr>
              <w:pStyle w:val="34"/>
              <w:adjustRightInd w:val="0"/>
              <w:snapToGrid w:val="0"/>
              <w:spacing w:line="560" w:lineRule="exact"/>
              <w:rPr>
                <w:bCs/>
              </w:rPr>
            </w:pPr>
            <w:r>
              <w:rPr>
                <w:rFonts w:hint="eastAsia"/>
                <w:bCs/>
                <w:kern w:val="0"/>
              </w:rPr>
              <w:t>≥35</w:t>
            </w:r>
          </w:p>
        </w:tc>
        <w:tc>
          <w:tcPr>
            <w:tcW w:w="1724" w:type="dxa"/>
            <w:shd w:val="clear" w:color="auto" w:fill="auto"/>
            <w:tcMar>
              <w:top w:w="15" w:type="dxa"/>
              <w:left w:w="15" w:type="dxa"/>
              <w:right w:w="15" w:type="dxa"/>
            </w:tcMar>
            <w:vAlign w:val="center"/>
          </w:tcPr>
          <w:p>
            <w:pPr>
              <w:pStyle w:val="34"/>
              <w:adjustRightInd w:val="0"/>
              <w:snapToGrid w:val="0"/>
              <w:spacing w:line="560" w:lineRule="exact"/>
              <w:rPr>
                <w:bCs/>
              </w:rPr>
            </w:pPr>
            <w:r>
              <w:rPr>
                <w:rFonts w:hint="eastAsia"/>
                <w:bCs/>
                <w:kern w:val="0"/>
              </w:rPr>
              <w:t>≥35</w:t>
            </w:r>
          </w:p>
        </w:tc>
        <w:tc>
          <w:tcPr>
            <w:tcW w:w="1819" w:type="dxa"/>
            <w:shd w:val="clear" w:color="auto" w:fill="auto"/>
            <w:tcMar>
              <w:top w:w="15" w:type="dxa"/>
              <w:left w:w="15" w:type="dxa"/>
              <w:right w:w="15" w:type="dxa"/>
            </w:tcMar>
            <w:vAlign w:val="center"/>
          </w:tcPr>
          <w:p>
            <w:pPr>
              <w:pStyle w:val="34"/>
              <w:adjustRightInd w:val="0"/>
              <w:snapToGrid w:val="0"/>
              <w:spacing w:line="560" w:lineRule="exact"/>
              <w:rPr>
                <w:bCs/>
              </w:rPr>
            </w:pPr>
            <w:r>
              <w:rPr>
                <w:rFonts w:hint="eastAsia"/>
                <w:bCs/>
                <w:kern w:val="0"/>
              </w:rPr>
              <w:t>≥23-28</w:t>
            </w:r>
          </w:p>
        </w:tc>
        <w:tc>
          <w:tcPr>
            <w:tcW w:w="1505" w:type="dxa"/>
            <w:shd w:val="clear" w:color="auto" w:fill="auto"/>
            <w:tcMar>
              <w:top w:w="15" w:type="dxa"/>
              <w:left w:w="15" w:type="dxa"/>
              <w:right w:w="15" w:type="dxa"/>
            </w:tcMar>
            <w:vAlign w:val="center"/>
          </w:tcPr>
          <w:p>
            <w:pPr>
              <w:pStyle w:val="34"/>
              <w:adjustRightInd w:val="0"/>
              <w:snapToGrid w:val="0"/>
              <w:spacing w:line="560" w:lineRule="exact"/>
              <w:rPr>
                <w:bCs/>
              </w:rPr>
            </w:pPr>
            <w:r>
              <w:rPr>
                <w:rFonts w:hint="eastAsia"/>
                <w:bCs/>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1838" w:type="dxa"/>
            <w:shd w:val="clear" w:color="auto" w:fill="auto"/>
            <w:tcMar>
              <w:top w:w="15" w:type="dxa"/>
              <w:left w:w="15" w:type="dxa"/>
              <w:right w:w="15" w:type="dxa"/>
            </w:tcMar>
            <w:vAlign w:val="center"/>
          </w:tcPr>
          <w:p>
            <w:pPr>
              <w:pStyle w:val="34"/>
              <w:adjustRightInd w:val="0"/>
              <w:snapToGrid w:val="0"/>
              <w:spacing w:line="560" w:lineRule="exact"/>
            </w:pPr>
            <w:r>
              <w:rPr>
                <w:rFonts w:hint="eastAsia"/>
                <w:kern w:val="0"/>
              </w:rPr>
              <w:t>完全中学</w:t>
            </w:r>
          </w:p>
        </w:tc>
        <w:tc>
          <w:tcPr>
            <w:tcW w:w="1418" w:type="dxa"/>
            <w:shd w:val="clear" w:color="auto" w:fill="auto"/>
            <w:tcMar>
              <w:top w:w="15" w:type="dxa"/>
              <w:left w:w="15" w:type="dxa"/>
              <w:right w:w="15" w:type="dxa"/>
            </w:tcMar>
            <w:vAlign w:val="center"/>
          </w:tcPr>
          <w:p>
            <w:pPr>
              <w:pStyle w:val="34"/>
              <w:adjustRightInd w:val="0"/>
              <w:snapToGrid w:val="0"/>
              <w:spacing w:line="560" w:lineRule="exact"/>
              <w:rPr>
                <w:bCs/>
              </w:rPr>
            </w:pPr>
            <w:r>
              <w:rPr>
                <w:rFonts w:hint="eastAsia"/>
                <w:bCs/>
                <w:kern w:val="0"/>
              </w:rPr>
              <w:t>≥29</w:t>
            </w:r>
          </w:p>
        </w:tc>
        <w:tc>
          <w:tcPr>
            <w:tcW w:w="1724" w:type="dxa"/>
            <w:shd w:val="clear" w:color="auto" w:fill="auto"/>
            <w:tcMar>
              <w:top w:w="15" w:type="dxa"/>
              <w:left w:w="15" w:type="dxa"/>
              <w:right w:w="15" w:type="dxa"/>
            </w:tcMar>
            <w:vAlign w:val="center"/>
          </w:tcPr>
          <w:p>
            <w:pPr>
              <w:pStyle w:val="34"/>
              <w:adjustRightInd w:val="0"/>
              <w:snapToGrid w:val="0"/>
              <w:spacing w:line="560" w:lineRule="exact"/>
              <w:rPr>
                <w:bCs/>
              </w:rPr>
            </w:pPr>
            <w:r>
              <w:rPr>
                <w:rFonts w:hint="eastAsia"/>
                <w:bCs/>
                <w:kern w:val="0"/>
              </w:rPr>
              <w:t>≥29</w:t>
            </w:r>
          </w:p>
        </w:tc>
        <w:tc>
          <w:tcPr>
            <w:tcW w:w="1819" w:type="dxa"/>
            <w:shd w:val="clear" w:color="auto" w:fill="auto"/>
            <w:tcMar>
              <w:top w:w="15" w:type="dxa"/>
              <w:left w:w="15" w:type="dxa"/>
              <w:right w:w="15" w:type="dxa"/>
            </w:tcMar>
            <w:vAlign w:val="center"/>
          </w:tcPr>
          <w:p>
            <w:pPr>
              <w:pStyle w:val="34"/>
              <w:adjustRightInd w:val="0"/>
              <w:snapToGrid w:val="0"/>
              <w:spacing w:line="560" w:lineRule="exact"/>
              <w:rPr>
                <w:bCs/>
              </w:rPr>
            </w:pPr>
            <w:r>
              <w:rPr>
                <w:rFonts w:hint="eastAsia"/>
                <w:bCs/>
                <w:kern w:val="0"/>
              </w:rPr>
              <w:t>≥19-23</w:t>
            </w:r>
          </w:p>
        </w:tc>
        <w:tc>
          <w:tcPr>
            <w:tcW w:w="1505" w:type="dxa"/>
            <w:shd w:val="clear" w:color="auto" w:fill="auto"/>
            <w:tcMar>
              <w:top w:w="15" w:type="dxa"/>
              <w:left w:w="15" w:type="dxa"/>
              <w:right w:w="15" w:type="dxa"/>
            </w:tcMar>
            <w:vAlign w:val="center"/>
          </w:tcPr>
          <w:p>
            <w:pPr>
              <w:pStyle w:val="34"/>
              <w:adjustRightInd w:val="0"/>
              <w:snapToGrid w:val="0"/>
              <w:spacing w:line="560" w:lineRule="exact"/>
              <w:rPr>
                <w:bCs/>
              </w:rPr>
            </w:pPr>
            <w:r>
              <w:rPr>
                <w:rFonts w:hint="eastAsia"/>
                <w:bCs/>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 w:hRule="atLeast"/>
          <w:jc w:val="center"/>
        </w:trPr>
        <w:tc>
          <w:tcPr>
            <w:tcW w:w="1838" w:type="dxa"/>
            <w:shd w:val="clear" w:color="auto" w:fill="auto"/>
            <w:tcMar>
              <w:top w:w="15" w:type="dxa"/>
              <w:left w:w="15" w:type="dxa"/>
              <w:right w:w="15" w:type="dxa"/>
            </w:tcMar>
            <w:vAlign w:val="center"/>
          </w:tcPr>
          <w:p>
            <w:pPr>
              <w:pStyle w:val="34"/>
              <w:adjustRightInd w:val="0"/>
              <w:snapToGrid w:val="0"/>
              <w:spacing w:line="560" w:lineRule="exact"/>
            </w:pPr>
            <w:r>
              <w:rPr>
                <w:rFonts w:hint="eastAsia"/>
                <w:kern w:val="0"/>
              </w:rPr>
              <w:t>十二年一贯制</w:t>
            </w:r>
          </w:p>
        </w:tc>
        <w:tc>
          <w:tcPr>
            <w:tcW w:w="1418" w:type="dxa"/>
            <w:shd w:val="clear" w:color="auto" w:fill="auto"/>
            <w:tcMar>
              <w:top w:w="15" w:type="dxa"/>
              <w:left w:w="15" w:type="dxa"/>
              <w:right w:w="15" w:type="dxa"/>
            </w:tcMar>
            <w:vAlign w:val="center"/>
          </w:tcPr>
          <w:p>
            <w:pPr>
              <w:pStyle w:val="34"/>
              <w:adjustRightInd w:val="0"/>
              <w:snapToGrid w:val="0"/>
              <w:spacing w:line="560" w:lineRule="exact"/>
              <w:rPr>
                <w:bCs/>
              </w:rPr>
            </w:pPr>
            <w:r>
              <w:rPr>
                <w:rFonts w:hint="eastAsia"/>
                <w:bCs/>
                <w:kern w:val="0"/>
              </w:rPr>
              <w:t>≥26</w:t>
            </w:r>
          </w:p>
        </w:tc>
        <w:tc>
          <w:tcPr>
            <w:tcW w:w="1724" w:type="dxa"/>
            <w:shd w:val="clear" w:color="auto" w:fill="auto"/>
            <w:tcMar>
              <w:top w:w="15" w:type="dxa"/>
              <w:left w:w="15" w:type="dxa"/>
              <w:right w:w="15" w:type="dxa"/>
            </w:tcMar>
            <w:vAlign w:val="center"/>
          </w:tcPr>
          <w:p>
            <w:pPr>
              <w:pStyle w:val="34"/>
              <w:adjustRightInd w:val="0"/>
              <w:snapToGrid w:val="0"/>
              <w:spacing w:line="560" w:lineRule="exact"/>
              <w:rPr>
                <w:bCs/>
              </w:rPr>
            </w:pPr>
            <w:r>
              <w:rPr>
                <w:rFonts w:hint="eastAsia"/>
                <w:bCs/>
                <w:kern w:val="0"/>
              </w:rPr>
              <w:t>≥26</w:t>
            </w:r>
          </w:p>
        </w:tc>
        <w:tc>
          <w:tcPr>
            <w:tcW w:w="1819" w:type="dxa"/>
            <w:shd w:val="clear" w:color="auto" w:fill="auto"/>
            <w:tcMar>
              <w:top w:w="15" w:type="dxa"/>
              <w:left w:w="15" w:type="dxa"/>
              <w:right w:w="15" w:type="dxa"/>
            </w:tcMar>
            <w:vAlign w:val="center"/>
          </w:tcPr>
          <w:p>
            <w:pPr>
              <w:pStyle w:val="34"/>
              <w:adjustRightInd w:val="0"/>
              <w:snapToGrid w:val="0"/>
              <w:spacing w:line="560" w:lineRule="exact"/>
              <w:rPr>
                <w:bCs/>
              </w:rPr>
            </w:pPr>
            <w:r>
              <w:rPr>
                <w:rFonts w:hint="eastAsia"/>
                <w:bCs/>
                <w:kern w:val="0"/>
              </w:rPr>
              <w:t>≥17-21</w:t>
            </w:r>
          </w:p>
        </w:tc>
        <w:tc>
          <w:tcPr>
            <w:tcW w:w="1505" w:type="dxa"/>
            <w:shd w:val="clear" w:color="auto" w:fill="auto"/>
            <w:tcMar>
              <w:top w:w="15" w:type="dxa"/>
              <w:left w:w="15" w:type="dxa"/>
              <w:right w:w="15" w:type="dxa"/>
            </w:tcMar>
            <w:vAlign w:val="center"/>
          </w:tcPr>
          <w:p>
            <w:pPr>
              <w:pStyle w:val="34"/>
              <w:adjustRightInd w:val="0"/>
              <w:snapToGrid w:val="0"/>
              <w:spacing w:line="560" w:lineRule="exact"/>
              <w:rPr>
                <w:bCs/>
              </w:rPr>
            </w:pPr>
            <w:r>
              <w:rPr>
                <w:rFonts w:hint="eastAsia"/>
                <w:bCs/>
                <w:kern w:val="0"/>
              </w:rPr>
              <w:t>≥14</w:t>
            </w:r>
          </w:p>
        </w:tc>
      </w:tr>
    </w:tbl>
    <w:p>
      <w:pPr>
        <w:pStyle w:val="5"/>
        <w:numPr>
          <w:ilvl w:val="0"/>
          <w:numId w:val="9"/>
        </w:numPr>
        <w:adjustRightInd w:val="0"/>
        <w:snapToGrid w:val="0"/>
        <w:ind w:firstLine="640"/>
      </w:pPr>
      <w:r>
        <w:rPr>
          <w:rFonts w:hint="eastAsia"/>
        </w:rPr>
        <w:t>生均建筑面积。</w:t>
      </w:r>
    </w:p>
    <w:p>
      <w:pPr>
        <w:adjustRightInd w:val="0"/>
        <w:snapToGrid w:val="0"/>
        <w:ind w:firstLine="640"/>
        <w:rPr>
          <w:rFonts w:ascii="宋体" w:hAnsi="宋体"/>
          <w:sz w:val="21"/>
          <w:szCs w:val="21"/>
        </w:rPr>
      </w:pPr>
      <w:r>
        <w:rPr>
          <w:rFonts w:hint="eastAsia"/>
        </w:rPr>
        <w:t>生均建筑面积标准见下表：</w:t>
      </w:r>
    </w:p>
    <w:p>
      <w:pPr>
        <w:pStyle w:val="8"/>
        <w:adjustRightInd w:val="0"/>
      </w:pPr>
      <w:r>
        <w:rPr>
          <w:rFonts w:hint="eastAsia"/>
        </w:rPr>
        <w:t>佛山</w:t>
      </w:r>
      <w:r>
        <w:t>市基础教育设施</w:t>
      </w:r>
      <w:r>
        <w:rPr>
          <w:rFonts w:hint="eastAsia"/>
        </w:rPr>
        <w:t>生均建筑面积标准表</w:t>
      </w:r>
    </w:p>
    <w:tbl>
      <w:tblPr>
        <w:tblStyle w:val="14"/>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05"/>
        <w:gridCol w:w="5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tblHeader/>
          <w:jc w:val="center"/>
        </w:trPr>
        <w:tc>
          <w:tcPr>
            <w:tcW w:w="2405" w:type="dxa"/>
            <w:shd w:val="clear" w:color="auto" w:fill="auto"/>
            <w:tcMar>
              <w:top w:w="15" w:type="dxa"/>
              <w:left w:w="15" w:type="dxa"/>
              <w:right w:w="15" w:type="dxa"/>
            </w:tcMar>
            <w:vAlign w:val="center"/>
          </w:tcPr>
          <w:p>
            <w:pPr>
              <w:pStyle w:val="34"/>
              <w:adjustRightInd w:val="0"/>
              <w:snapToGrid w:val="0"/>
              <w:spacing w:line="560" w:lineRule="exact"/>
              <w:rPr>
                <w:b/>
              </w:rPr>
            </w:pPr>
            <w:r>
              <w:rPr>
                <w:rFonts w:hint="eastAsia"/>
                <w:b/>
              </w:rPr>
              <w:t>设施类型</w:t>
            </w:r>
          </w:p>
        </w:tc>
        <w:tc>
          <w:tcPr>
            <w:tcW w:w="5913" w:type="dxa"/>
            <w:shd w:val="clear" w:color="auto" w:fill="auto"/>
            <w:tcMar>
              <w:top w:w="15" w:type="dxa"/>
              <w:left w:w="15" w:type="dxa"/>
              <w:right w:w="15" w:type="dxa"/>
            </w:tcMar>
            <w:vAlign w:val="center"/>
          </w:tcPr>
          <w:p>
            <w:pPr>
              <w:pStyle w:val="34"/>
              <w:adjustRightInd w:val="0"/>
              <w:snapToGrid w:val="0"/>
              <w:spacing w:line="560" w:lineRule="exact"/>
              <w:rPr>
                <w:b/>
              </w:rPr>
            </w:pPr>
            <w:r>
              <w:rPr>
                <w:rFonts w:hint="eastAsia"/>
                <w:b/>
                <w:szCs w:val="21"/>
              </w:rPr>
              <w:t>生均建筑面积（</w:t>
            </w:r>
            <w:r>
              <w:rPr>
                <w:rFonts w:ascii="Segoe UI Symbol" w:hAnsi="Segoe UI Symbol" w:cs="Segoe UI Symbol"/>
                <w:b/>
                <w:szCs w:val="21"/>
              </w:rPr>
              <w:t>㎡</w:t>
            </w:r>
            <w:r>
              <w:rPr>
                <w:rFonts w:hint="eastAsia"/>
                <w:b/>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2405" w:type="dxa"/>
            <w:shd w:val="clear" w:color="auto" w:fill="auto"/>
            <w:tcMar>
              <w:top w:w="15" w:type="dxa"/>
              <w:left w:w="15" w:type="dxa"/>
              <w:right w:w="15" w:type="dxa"/>
            </w:tcMar>
            <w:vAlign w:val="center"/>
          </w:tcPr>
          <w:p>
            <w:pPr>
              <w:pStyle w:val="34"/>
              <w:adjustRightInd w:val="0"/>
              <w:snapToGrid w:val="0"/>
              <w:spacing w:line="560" w:lineRule="exact"/>
            </w:pPr>
            <w:r>
              <w:rPr>
                <w:rFonts w:hint="eastAsia"/>
              </w:rPr>
              <w:t>幼儿园</w:t>
            </w:r>
          </w:p>
        </w:tc>
        <w:tc>
          <w:tcPr>
            <w:tcW w:w="5913" w:type="dxa"/>
            <w:shd w:val="clear" w:color="auto" w:fill="auto"/>
            <w:tcMar>
              <w:top w:w="15" w:type="dxa"/>
              <w:left w:w="15" w:type="dxa"/>
              <w:right w:w="15" w:type="dxa"/>
            </w:tcMar>
            <w:vAlign w:val="center"/>
          </w:tcPr>
          <w:p>
            <w:pPr>
              <w:pStyle w:val="34"/>
              <w:adjustRightInd w:val="0"/>
              <w:snapToGrid w:val="0"/>
              <w:spacing w:line="560" w:lineRule="exact"/>
            </w:pPr>
            <w:r>
              <w:rPr>
                <w:rFonts w:hint="eastAsia"/>
              </w:rPr>
              <w:t>≥10.44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 w:hRule="atLeast"/>
          <w:jc w:val="center"/>
        </w:trPr>
        <w:tc>
          <w:tcPr>
            <w:tcW w:w="2405" w:type="dxa"/>
            <w:shd w:val="clear" w:color="auto" w:fill="auto"/>
            <w:tcMar>
              <w:top w:w="15" w:type="dxa"/>
              <w:left w:w="15" w:type="dxa"/>
              <w:right w:w="15" w:type="dxa"/>
            </w:tcMar>
            <w:vAlign w:val="center"/>
          </w:tcPr>
          <w:p>
            <w:pPr>
              <w:pStyle w:val="34"/>
              <w:adjustRightInd w:val="0"/>
              <w:snapToGrid w:val="0"/>
              <w:spacing w:line="560" w:lineRule="exact"/>
            </w:pPr>
            <w:r>
              <w:rPr>
                <w:rFonts w:hint="eastAsia"/>
              </w:rPr>
              <w:t>小学</w:t>
            </w:r>
          </w:p>
        </w:tc>
        <w:tc>
          <w:tcPr>
            <w:tcW w:w="5913" w:type="dxa"/>
            <w:shd w:val="clear" w:color="auto" w:fill="auto"/>
            <w:tcMar>
              <w:top w:w="15" w:type="dxa"/>
              <w:left w:w="15" w:type="dxa"/>
              <w:right w:w="15" w:type="dxa"/>
            </w:tcMar>
            <w:vAlign w:val="center"/>
          </w:tcPr>
          <w:p>
            <w:pPr>
              <w:pStyle w:val="34"/>
              <w:adjustRightInd w:val="0"/>
              <w:snapToGrid w:val="0"/>
              <w:spacing w:line="560" w:lineRule="exact"/>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 w:hRule="atLeast"/>
          <w:jc w:val="center"/>
        </w:trPr>
        <w:tc>
          <w:tcPr>
            <w:tcW w:w="2405" w:type="dxa"/>
            <w:shd w:val="clear" w:color="auto" w:fill="auto"/>
            <w:tcMar>
              <w:top w:w="15" w:type="dxa"/>
              <w:left w:w="15" w:type="dxa"/>
              <w:right w:w="15" w:type="dxa"/>
            </w:tcMar>
            <w:vAlign w:val="center"/>
          </w:tcPr>
          <w:p>
            <w:pPr>
              <w:pStyle w:val="34"/>
              <w:adjustRightInd w:val="0"/>
              <w:snapToGrid w:val="0"/>
              <w:spacing w:line="560" w:lineRule="exact"/>
            </w:pPr>
            <w:r>
              <w:rPr>
                <w:rFonts w:hint="eastAsia"/>
              </w:rPr>
              <w:t>初中</w:t>
            </w:r>
          </w:p>
        </w:tc>
        <w:tc>
          <w:tcPr>
            <w:tcW w:w="5913" w:type="dxa"/>
            <w:shd w:val="clear" w:color="auto" w:fill="auto"/>
            <w:tcMar>
              <w:top w:w="15" w:type="dxa"/>
              <w:left w:w="15" w:type="dxa"/>
              <w:right w:w="15" w:type="dxa"/>
            </w:tcMar>
            <w:vAlign w:val="center"/>
          </w:tcPr>
          <w:p>
            <w:pPr>
              <w:pStyle w:val="34"/>
              <w:adjustRightInd w:val="0"/>
              <w:snapToGrid w:val="0"/>
              <w:spacing w:line="560" w:lineRule="exact"/>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2405" w:type="dxa"/>
            <w:shd w:val="clear" w:color="auto" w:fill="auto"/>
            <w:tcMar>
              <w:top w:w="15" w:type="dxa"/>
              <w:left w:w="15" w:type="dxa"/>
              <w:right w:w="15" w:type="dxa"/>
            </w:tcMar>
            <w:vAlign w:val="center"/>
          </w:tcPr>
          <w:p>
            <w:pPr>
              <w:pStyle w:val="34"/>
              <w:adjustRightInd w:val="0"/>
              <w:snapToGrid w:val="0"/>
              <w:spacing w:line="560" w:lineRule="exact"/>
            </w:pPr>
            <w:r>
              <w:rPr>
                <w:rFonts w:hint="eastAsia"/>
              </w:rPr>
              <w:t>九年一贯制</w:t>
            </w:r>
          </w:p>
        </w:tc>
        <w:tc>
          <w:tcPr>
            <w:tcW w:w="5913" w:type="dxa"/>
            <w:shd w:val="clear" w:color="auto" w:fill="auto"/>
            <w:tcMar>
              <w:top w:w="15" w:type="dxa"/>
              <w:left w:w="15" w:type="dxa"/>
              <w:right w:w="15" w:type="dxa"/>
            </w:tcMar>
            <w:vAlign w:val="center"/>
          </w:tcPr>
          <w:p>
            <w:pPr>
              <w:pStyle w:val="34"/>
              <w:adjustRightInd w:val="0"/>
              <w:snapToGrid w:val="0"/>
              <w:spacing w:line="560" w:lineRule="exact"/>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 w:hRule="atLeast"/>
          <w:jc w:val="center"/>
        </w:trPr>
        <w:tc>
          <w:tcPr>
            <w:tcW w:w="2405" w:type="dxa"/>
            <w:shd w:val="clear" w:color="auto" w:fill="auto"/>
            <w:tcMar>
              <w:top w:w="15" w:type="dxa"/>
              <w:left w:w="15" w:type="dxa"/>
              <w:right w:w="15" w:type="dxa"/>
            </w:tcMar>
            <w:vAlign w:val="center"/>
          </w:tcPr>
          <w:p>
            <w:pPr>
              <w:pStyle w:val="34"/>
              <w:adjustRightInd w:val="0"/>
              <w:snapToGrid w:val="0"/>
              <w:spacing w:line="560" w:lineRule="exact"/>
            </w:pPr>
            <w:r>
              <w:rPr>
                <w:rFonts w:hint="eastAsia"/>
                <w:szCs w:val="21"/>
              </w:rPr>
              <w:t>普高及中职</w:t>
            </w:r>
          </w:p>
        </w:tc>
        <w:tc>
          <w:tcPr>
            <w:tcW w:w="5913" w:type="dxa"/>
            <w:shd w:val="clear" w:color="auto" w:fill="auto"/>
            <w:tcMar>
              <w:top w:w="15" w:type="dxa"/>
              <w:left w:w="15" w:type="dxa"/>
              <w:right w:w="15" w:type="dxa"/>
            </w:tcMar>
            <w:vAlign w:val="center"/>
          </w:tcPr>
          <w:p>
            <w:pPr>
              <w:pStyle w:val="34"/>
              <w:adjustRightInd w:val="0"/>
              <w:snapToGrid w:val="0"/>
              <w:spacing w:line="560" w:lineRule="exact"/>
            </w:pP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 w:hRule="atLeast"/>
          <w:jc w:val="center"/>
        </w:trPr>
        <w:tc>
          <w:tcPr>
            <w:tcW w:w="2405" w:type="dxa"/>
            <w:shd w:val="clear" w:color="auto" w:fill="auto"/>
            <w:tcMar>
              <w:top w:w="15" w:type="dxa"/>
              <w:left w:w="15" w:type="dxa"/>
              <w:right w:w="15" w:type="dxa"/>
            </w:tcMar>
            <w:vAlign w:val="center"/>
          </w:tcPr>
          <w:p>
            <w:pPr>
              <w:pStyle w:val="34"/>
              <w:adjustRightInd w:val="0"/>
              <w:snapToGrid w:val="0"/>
              <w:spacing w:line="560" w:lineRule="exact"/>
            </w:pPr>
            <w:r>
              <w:rPr>
                <w:rFonts w:hint="eastAsia"/>
              </w:rPr>
              <w:t>完全中学</w:t>
            </w:r>
          </w:p>
        </w:tc>
        <w:tc>
          <w:tcPr>
            <w:tcW w:w="5913" w:type="dxa"/>
            <w:shd w:val="clear" w:color="auto" w:fill="auto"/>
            <w:tcMar>
              <w:top w:w="15" w:type="dxa"/>
              <w:left w:w="15" w:type="dxa"/>
              <w:right w:w="15" w:type="dxa"/>
            </w:tcMar>
            <w:vAlign w:val="center"/>
          </w:tcPr>
          <w:p>
            <w:pPr>
              <w:pStyle w:val="34"/>
              <w:adjustRightInd w:val="0"/>
              <w:snapToGrid w:val="0"/>
              <w:spacing w:line="560" w:lineRule="exact"/>
            </w:pPr>
            <w:r>
              <w:rPr>
                <w:rFonts w:hint="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jc w:val="center"/>
        </w:trPr>
        <w:tc>
          <w:tcPr>
            <w:tcW w:w="2405" w:type="dxa"/>
            <w:shd w:val="clear" w:color="auto" w:fill="auto"/>
            <w:tcMar>
              <w:top w:w="15" w:type="dxa"/>
              <w:left w:w="15" w:type="dxa"/>
              <w:right w:w="15" w:type="dxa"/>
            </w:tcMar>
            <w:vAlign w:val="center"/>
          </w:tcPr>
          <w:p>
            <w:pPr>
              <w:pStyle w:val="34"/>
              <w:adjustRightInd w:val="0"/>
              <w:snapToGrid w:val="0"/>
              <w:spacing w:line="560" w:lineRule="exact"/>
            </w:pPr>
            <w:r>
              <w:rPr>
                <w:rFonts w:hint="eastAsia"/>
              </w:rPr>
              <w:t>十二年一贯制</w:t>
            </w:r>
          </w:p>
        </w:tc>
        <w:tc>
          <w:tcPr>
            <w:tcW w:w="5913" w:type="dxa"/>
            <w:shd w:val="clear" w:color="auto" w:fill="auto"/>
            <w:tcMar>
              <w:top w:w="15" w:type="dxa"/>
              <w:left w:w="15" w:type="dxa"/>
              <w:right w:w="15" w:type="dxa"/>
            </w:tcMar>
            <w:vAlign w:val="center"/>
          </w:tcPr>
          <w:p>
            <w:pPr>
              <w:pStyle w:val="34"/>
              <w:adjustRightInd w:val="0"/>
              <w:snapToGrid w:val="0"/>
              <w:spacing w:line="560" w:lineRule="exact"/>
            </w:pPr>
            <w:r>
              <w:rPr>
                <w:rFonts w:hint="eastAsia"/>
              </w:rPr>
              <w:t>≥25</w:t>
            </w:r>
          </w:p>
        </w:tc>
      </w:tr>
    </w:tbl>
    <w:p>
      <w:pPr>
        <w:pStyle w:val="5"/>
        <w:numPr>
          <w:ilvl w:val="0"/>
          <w:numId w:val="9"/>
        </w:numPr>
        <w:adjustRightInd w:val="0"/>
        <w:snapToGrid w:val="0"/>
        <w:ind w:firstLine="640"/>
      </w:pPr>
      <w:r>
        <w:rPr>
          <w:rFonts w:hint="eastAsia"/>
        </w:rPr>
        <w:t>办学规模及班额。</w:t>
      </w:r>
    </w:p>
    <w:p>
      <w:pPr>
        <w:adjustRightInd w:val="0"/>
        <w:snapToGrid w:val="0"/>
        <w:ind w:firstLine="640"/>
      </w:pPr>
      <w:r>
        <w:rPr>
          <w:rFonts w:hint="eastAsia"/>
        </w:rPr>
        <w:t>办学规模及班额标准要求见下表：</w:t>
      </w:r>
    </w:p>
    <w:p>
      <w:pPr>
        <w:pStyle w:val="8"/>
        <w:adjustRightInd w:val="0"/>
      </w:pPr>
      <w:r>
        <w:rPr>
          <w:rFonts w:hint="eastAsia"/>
        </w:rPr>
        <w:t>佛山</w:t>
      </w:r>
      <w:r>
        <w:t>市基础教育设施</w:t>
      </w:r>
      <w:r>
        <w:rPr>
          <w:rFonts w:hint="eastAsia"/>
        </w:rPr>
        <w:t>办学规模与班额标准表</w:t>
      </w:r>
    </w:p>
    <w:tbl>
      <w:tblPr>
        <w:tblStyle w:val="14"/>
        <w:tblW w:w="8358" w:type="dxa"/>
        <w:jc w:val="center"/>
        <w:tblLayout w:type="fixed"/>
        <w:tblCellMar>
          <w:top w:w="0" w:type="dxa"/>
          <w:left w:w="0" w:type="dxa"/>
          <w:bottom w:w="0" w:type="dxa"/>
          <w:right w:w="0" w:type="dxa"/>
        </w:tblCellMar>
      </w:tblPr>
      <w:tblGrid>
        <w:gridCol w:w="2263"/>
        <w:gridCol w:w="3261"/>
        <w:gridCol w:w="2834"/>
      </w:tblGrid>
      <w:tr>
        <w:tblPrEx>
          <w:tblCellMar>
            <w:top w:w="0" w:type="dxa"/>
            <w:left w:w="0" w:type="dxa"/>
            <w:bottom w:w="0" w:type="dxa"/>
            <w:right w:w="0" w:type="dxa"/>
          </w:tblCellMar>
        </w:tblPrEx>
        <w:trPr>
          <w:trHeight w:val="189" w:hRule="atLeast"/>
          <w:tblHeader/>
          <w:jc w:val="center"/>
        </w:trPr>
        <w:tc>
          <w:tcPr>
            <w:tcW w:w="2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rPr>
                <w:b/>
              </w:rPr>
            </w:pPr>
            <w:r>
              <w:rPr>
                <w:rFonts w:hint="eastAsia"/>
                <w:b/>
              </w:rPr>
              <w:t>设施类型</w:t>
            </w:r>
          </w:p>
        </w:tc>
        <w:tc>
          <w:tcPr>
            <w:tcW w:w="32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rPr>
                <w:b/>
              </w:rPr>
            </w:pPr>
            <w:r>
              <w:rPr>
                <w:rFonts w:hint="eastAsia"/>
                <w:b/>
              </w:rPr>
              <w:t>办学规模（班）</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rPr>
                <w:b/>
              </w:rPr>
            </w:pPr>
            <w:r>
              <w:rPr>
                <w:rFonts w:hint="eastAsia"/>
                <w:b/>
              </w:rPr>
              <w:t>班额（座）</w:t>
            </w:r>
          </w:p>
        </w:tc>
      </w:tr>
      <w:tr>
        <w:tblPrEx>
          <w:tblCellMar>
            <w:top w:w="0" w:type="dxa"/>
            <w:left w:w="0" w:type="dxa"/>
            <w:bottom w:w="0" w:type="dxa"/>
            <w:right w:w="0" w:type="dxa"/>
          </w:tblCellMar>
        </w:tblPrEx>
        <w:trPr>
          <w:trHeight w:val="41" w:hRule="atLeast"/>
          <w:jc w:val="center"/>
        </w:trPr>
        <w:tc>
          <w:tcPr>
            <w:tcW w:w="2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rPr>
                <w:bCs/>
              </w:rPr>
            </w:pPr>
            <w:r>
              <w:rPr>
                <w:rFonts w:hint="eastAsia"/>
                <w:bCs/>
              </w:rPr>
              <w:t>幼儿园</w:t>
            </w:r>
          </w:p>
        </w:tc>
        <w:tc>
          <w:tcPr>
            <w:tcW w:w="32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pPr>
            <w:r>
              <w:rPr>
                <w:rFonts w:hint="eastAsia"/>
              </w:rPr>
              <w:t>6/9/12/15/18</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pPr>
            <w:r>
              <w:rPr>
                <w:rFonts w:hint="eastAsia"/>
              </w:rPr>
              <w:t>≤30</w:t>
            </w:r>
          </w:p>
        </w:tc>
      </w:tr>
      <w:tr>
        <w:tblPrEx>
          <w:tblCellMar>
            <w:top w:w="0" w:type="dxa"/>
            <w:left w:w="0" w:type="dxa"/>
            <w:bottom w:w="0" w:type="dxa"/>
            <w:right w:w="0" w:type="dxa"/>
          </w:tblCellMar>
        </w:tblPrEx>
        <w:trPr>
          <w:trHeight w:val="56" w:hRule="atLeast"/>
          <w:jc w:val="center"/>
        </w:trPr>
        <w:tc>
          <w:tcPr>
            <w:tcW w:w="2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rPr>
                <w:bCs/>
              </w:rPr>
            </w:pPr>
            <w:r>
              <w:rPr>
                <w:rFonts w:hint="eastAsia"/>
                <w:bCs/>
              </w:rPr>
              <w:t>小学</w:t>
            </w:r>
          </w:p>
        </w:tc>
        <w:tc>
          <w:tcPr>
            <w:tcW w:w="32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pPr>
            <w:r>
              <w:rPr>
                <w:rFonts w:hint="eastAsia"/>
              </w:rPr>
              <w:t>24/36</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pPr>
            <w:r>
              <w:rPr>
                <w:rFonts w:hint="eastAsia"/>
              </w:rPr>
              <w:t>≤45</w:t>
            </w:r>
          </w:p>
        </w:tc>
      </w:tr>
      <w:tr>
        <w:tblPrEx>
          <w:tblCellMar>
            <w:top w:w="0" w:type="dxa"/>
            <w:left w:w="0" w:type="dxa"/>
            <w:bottom w:w="0" w:type="dxa"/>
            <w:right w:w="0" w:type="dxa"/>
          </w:tblCellMar>
        </w:tblPrEx>
        <w:trPr>
          <w:trHeight w:val="37" w:hRule="atLeast"/>
          <w:jc w:val="center"/>
        </w:trPr>
        <w:tc>
          <w:tcPr>
            <w:tcW w:w="2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rPr>
                <w:bCs/>
              </w:rPr>
            </w:pPr>
            <w:r>
              <w:rPr>
                <w:rFonts w:hint="eastAsia"/>
                <w:bCs/>
              </w:rPr>
              <w:t>初中</w:t>
            </w:r>
          </w:p>
        </w:tc>
        <w:tc>
          <w:tcPr>
            <w:tcW w:w="32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pPr>
            <w:r>
              <w:rPr>
                <w:rFonts w:hint="eastAsia"/>
              </w:rPr>
              <w:t>24/36</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pPr>
            <w:r>
              <w:rPr>
                <w:rFonts w:hint="eastAsia"/>
              </w:rPr>
              <w:t>≤50</w:t>
            </w:r>
          </w:p>
        </w:tc>
      </w:tr>
      <w:tr>
        <w:tblPrEx>
          <w:tblCellMar>
            <w:top w:w="0" w:type="dxa"/>
            <w:left w:w="0" w:type="dxa"/>
            <w:bottom w:w="0" w:type="dxa"/>
            <w:right w:w="0" w:type="dxa"/>
          </w:tblCellMar>
        </w:tblPrEx>
        <w:trPr>
          <w:trHeight w:val="279" w:hRule="atLeast"/>
          <w:jc w:val="center"/>
        </w:trPr>
        <w:tc>
          <w:tcPr>
            <w:tcW w:w="2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rPr>
                <w:bCs/>
              </w:rPr>
            </w:pPr>
            <w:r>
              <w:rPr>
                <w:rFonts w:hint="eastAsia"/>
                <w:bCs/>
              </w:rPr>
              <w:t>九年一贯制</w:t>
            </w:r>
          </w:p>
        </w:tc>
        <w:tc>
          <w:tcPr>
            <w:tcW w:w="32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pPr>
            <w:r>
              <w:rPr>
                <w:rFonts w:hint="eastAsia"/>
              </w:rPr>
              <w:t>36/48/54</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pPr>
            <w:r>
              <w:rPr>
                <w:rFonts w:hint="eastAsia"/>
              </w:rPr>
              <w:t>小学≤45，初中≤50</w:t>
            </w:r>
          </w:p>
        </w:tc>
      </w:tr>
      <w:tr>
        <w:tblPrEx>
          <w:tblCellMar>
            <w:top w:w="0" w:type="dxa"/>
            <w:left w:w="0" w:type="dxa"/>
            <w:bottom w:w="0" w:type="dxa"/>
            <w:right w:w="0" w:type="dxa"/>
          </w:tblCellMar>
        </w:tblPrEx>
        <w:trPr>
          <w:trHeight w:val="45" w:hRule="atLeast"/>
          <w:jc w:val="center"/>
        </w:trPr>
        <w:tc>
          <w:tcPr>
            <w:tcW w:w="2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rPr>
                <w:bCs/>
              </w:rPr>
            </w:pPr>
            <w:r>
              <w:rPr>
                <w:rFonts w:hint="eastAsia"/>
              </w:rPr>
              <w:t>普高及中职</w:t>
            </w:r>
          </w:p>
        </w:tc>
        <w:tc>
          <w:tcPr>
            <w:tcW w:w="32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pPr>
            <w:r>
              <w:rPr>
                <w:rFonts w:hint="eastAsia"/>
              </w:rPr>
              <w:t>48/60</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pPr>
            <w:r>
              <w:rPr>
                <w:rFonts w:hint="eastAsia"/>
              </w:rPr>
              <w:t>≤50</w:t>
            </w:r>
          </w:p>
        </w:tc>
      </w:tr>
      <w:tr>
        <w:tblPrEx>
          <w:tblCellMar>
            <w:top w:w="0" w:type="dxa"/>
            <w:left w:w="0" w:type="dxa"/>
            <w:bottom w:w="0" w:type="dxa"/>
            <w:right w:w="0" w:type="dxa"/>
          </w:tblCellMar>
        </w:tblPrEx>
        <w:trPr>
          <w:trHeight w:val="279" w:hRule="atLeast"/>
          <w:jc w:val="center"/>
        </w:trPr>
        <w:tc>
          <w:tcPr>
            <w:tcW w:w="2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rPr>
                <w:bCs/>
              </w:rPr>
            </w:pPr>
            <w:r>
              <w:rPr>
                <w:rFonts w:hint="eastAsia"/>
                <w:bCs/>
              </w:rPr>
              <w:t>完全中学</w:t>
            </w:r>
          </w:p>
        </w:tc>
        <w:tc>
          <w:tcPr>
            <w:tcW w:w="32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pPr>
            <w:r>
              <w:rPr>
                <w:rFonts w:hint="eastAsia"/>
              </w:rPr>
              <w:t>60/72/84</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pPr>
            <w:r>
              <w:rPr>
                <w:rFonts w:hint="eastAsia"/>
              </w:rPr>
              <w:t>≤50</w:t>
            </w:r>
          </w:p>
        </w:tc>
      </w:tr>
      <w:tr>
        <w:tblPrEx>
          <w:tblCellMar>
            <w:top w:w="0" w:type="dxa"/>
            <w:left w:w="0" w:type="dxa"/>
            <w:bottom w:w="0" w:type="dxa"/>
            <w:right w:w="0" w:type="dxa"/>
          </w:tblCellMar>
        </w:tblPrEx>
        <w:trPr>
          <w:trHeight w:val="37" w:hRule="atLeast"/>
          <w:jc w:val="center"/>
        </w:trPr>
        <w:tc>
          <w:tcPr>
            <w:tcW w:w="2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rPr>
                <w:bCs/>
              </w:rPr>
            </w:pPr>
            <w:r>
              <w:rPr>
                <w:rFonts w:hint="eastAsia"/>
                <w:bCs/>
              </w:rPr>
              <w:t>十二年一贯制</w:t>
            </w:r>
          </w:p>
        </w:tc>
        <w:tc>
          <w:tcPr>
            <w:tcW w:w="32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pPr>
            <w:r>
              <w:rPr>
                <w:rFonts w:hint="eastAsia"/>
              </w:rPr>
              <w:t>84</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pPr>
            <w:r>
              <w:rPr>
                <w:rFonts w:hint="eastAsia"/>
              </w:rPr>
              <w:t>≤50</w:t>
            </w:r>
          </w:p>
        </w:tc>
      </w:tr>
    </w:tbl>
    <w:p>
      <w:pPr>
        <w:pStyle w:val="5"/>
        <w:numPr>
          <w:ilvl w:val="0"/>
          <w:numId w:val="9"/>
        </w:numPr>
        <w:adjustRightInd w:val="0"/>
        <w:snapToGrid w:val="0"/>
        <w:ind w:firstLine="640"/>
      </w:pPr>
      <w:r>
        <w:rPr>
          <w:rFonts w:hint="eastAsia"/>
        </w:rPr>
        <w:t>服务半径。</w:t>
      </w:r>
    </w:p>
    <w:p>
      <w:pPr>
        <w:adjustRightInd w:val="0"/>
        <w:snapToGrid w:val="0"/>
        <w:ind w:firstLine="640"/>
      </w:pPr>
      <w:r>
        <w:rPr>
          <w:rFonts w:hint="eastAsia"/>
        </w:rPr>
        <w:t>服务半径要求见下表：</w:t>
      </w:r>
    </w:p>
    <w:p>
      <w:pPr>
        <w:pStyle w:val="8"/>
        <w:adjustRightInd w:val="0"/>
      </w:pPr>
      <w:r>
        <w:rPr>
          <w:rFonts w:hint="eastAsia"/>
        </w:rPr>
        <w:t>佛山</w:t>
      </w:r>
      <w:r>
        <w:t>市基础教育设施</w:t>
      </w:r>
      <w:r>
        <w:rPr>
          <w:rFonts w:hint="eastAsia"/>
        </w:rPr>
        <w:t>服务半径要求表</w:t>
      </w:r>
    </w:p>
    <w:tbl>
      <w:tblPr>
        <w:tblStyle w:val="14"/>
        <w:tblW w:w="8318" w:type="dxa"/>
        <w:jc w:val="center"/>
        <w:tblLayout w:type="fixed"/>
        <w:tblCellMar>
          <w:top w:w="0" w:type="dxa"/>
          <w:left w:w="0" w:type="dxa"/>
          <w:bottom w:w="0" w:type="dxa"/>
          <w:right w:w="0" w:type="dxa"/>
        </w:tblCellMar>
      </w:tblPr>
      <w:tblGrid>
        <w:gridCol w:w="1728"/>
        <w:gridCol w:w="6590"/>
      </w:tblGrid>
      <w:tr>
        <w:tblPrEx>
          <w:tblCellMar>
            <w:top w:w="0" w:type="dxa"/>
            <w:left w:w="0" w:type="dxa"/>
            <w:bottom w:w="0" w:type="dxa"/>
            <w:right w:w="0" w:type="dxa"/>
          </w:tblCellMar>
        </w:tblPrEx>
        <w:trPr>
          <w:trHeight w:val="322" w:hRule="atLeast"/>
          <w:tblHeader/>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rPr>
                <w:b/>
              </w:rPr>
            </w:pPr>
            <w:r>
              <w:rPr>
                <w:rFonts w:hint="eastAsia"/>
                <w:b/>
              </w:rPr>
              <w:t>设施类型</w:t>
            </w:r>
          </w:p>
        </w:tc>
        <w:tc>
          <w:tcPr>
            <w:tcW w:w="6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rPr>
                <w:b/>
              </w:rPr>
            </w:pPr>
            <w:r>
              <w:rPr>
                <w:rFonts w:hint="eastAsia"/>
                <w:b/>
              </w:rPr>
              <w:t>服务半径要求</w:t>
            </w:r>
          </w:p>
        </w:tc>
      </w:tr>
      <w:tr>
        <w:tblPrEx>
          <w:tblCellMar>
            <w:top w:w="0" w:type="dxa"/>
            <w:left w:w="0" w:type="dxa"/>
            <w:bottom w:w="0" w:type="dxa"/>
            <w:right w:w="0" w:type="dxa"/>
          </w:tblCellMar>
        </w:tblPrEx>
        <w:trPr>
          <w:trHeight w:val="322"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rPr>
                <w:bCs/>
              </w:rPr>
            </w:pPr>
            <w:r>
              <w:rPr>
                <w:rFonts w:hint="eastAsia"/>
                <w:bCs/>
              </w:rPr>
              <w:t>幼儿园</w:t>
            </w:r>
          </w:p>
        </w:tc>
        <w:tc>
          <w:tcPr>
            <w:tcW w:w="6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pPr>
            <w:r>
              <w:rPr>
                <w:rFonts w:hint="eastAsia"/>
              </w:rPr>
              <w:t>城镇开发边界内≤300米；</w:t>
            </w:r>
          </w:p>
          <w:p>
            <w:pPr>
              <w:pStyle w:val="34"/>
              <w:adjustRightInd w:val="0"/>
              <w:snapToGrid w:val="0"/>
              <w:spacing w:line="560" w:lineRule="exact"/>
            </w:pPr>
            <w:r>
              <w:rPr>
                <w:rFonts w:hint="eastAsia"/>
              </w:rPr>
              <w:t>城镇开发边界外≤600米。</w:t>
            </w:r>
          </w:p>
        </w:tc>
      </w:tr>
      <w:tr>
        <w:tblPrEx>
          <w:tblCellMar>
            <w:top w:w="0" w:type="dxa"/>
            <w:left w:w="0" w:type="dxa"/>
            <w:bottom w:w="0" w:type="dxa"/>
            <w:right w:w="0" w:type="dxa"/>
          </w:tblCellMar>
        </w:tblPrEx>
        <w:trPr>
          <w:trHeight w:val="322"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rPr>
                <w:bCs/>
              </w:rPr>
            </w:pPr>
            <w:r>
              <w:rPr>
                <w:rFonts w:hint="eastAsia"/>
                <w:bCs/>
              </w:rPr>
              <w:t>小学</w:t>
            </w:r>
          </w:p>
        </w:tc>
        <w:tc>
          <w:tcPr>
            <w:tcW w:w="6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pPr>
            <w:r>
              <w:rPr>
                <w:rFonts w:hint="eastAsia"/>
              </w:rPr>
              <w:t>城镇开发边界内≤500米；</w:t>
            </w:r>
          </w:p>
          <w:p>
            <w:pPr>
              <w:pStyle w:val="34"/>
              <w:adjustRightInd w:val="0"/>
              <w:snapToGrid w:val="0"/>
              <w:spacing w:line="560" w:lineRule="exact"/>
            </w:pPr>
            <w:r>
              <w:rPr>
                <w:rFonts w:hint="eastAsia"/>
              </w:rPr>
              <w:t>城镇开发边界外≤1000米。</w:t>
            </w:r>
          </w:p>
        </w:tc>
      </w:tr>
      <w:tr>
        <w:tblPrEx>
          <w:tblCellMar>
            <w:top w:w="0" w:type="dxa"/>
            <w:left w:w="0" w:type="dxa"/>
            <w:bottom w:w="0" w:type="dxa"/>
            <w:right w:w="0" w:type="dxa"/>
          </w:tblCellMar>
        </w:tblPrEx>
        <w:trPr>
          <w:trHeight w:val="322"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rPr>
                <w:bCs/>
              </w:rPr>
            </w:pPr>
            <w:r>
              <w:rPr>
                <w:rFonts w:hint="eastAsia"/>
                <w:bCs/>
              </w:rPr>
              <w:t>初中</w:t>
            </w:r>
          </w:p>
        </w:tc>
        <w:tc>
          <w:tcPr>
            <w:tcW w:w="6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pPr>
            <w:r>
              <w:rPr>
                <w:rFonts w:hint="eastAsia"/>
              </w:rPr>
              <w:t>城镇开发边界内≤1000米；</w:t>
            </w:r>
          </w:p>
          <w:p>
            <w:pPr>
              <w:pStyle w:val="34"/>
              <w:adjustRightInd w:val="0"/>
              <w:snapToGrid w:val="0"/>
              <w:spacing w:line="560" w:lineRule="exact"/>
            </w:pPr>
            <w:r>
              <w:rPr>
                <w:rFonts w:hint="eastAsia"/>
              </w:rPr>
              <w:t>城镇开发边界外≤2000米。</w:t>
            </w:r>
          </w:p>
        </w:tc>
      </w:tr>
      <w:tr>
        <w:tblPrEx>
          <w:tblCellMar>
            <w:top w:w="0" w:type="dxa"/>
            <w:left w:w="0" w:type="dxa"/>
            <w:bottom w:w="0" w:type="dxa"/>
            <w:right w:w="0" w:type="dxa"/>
          </w:tblCellMar>
        </w:tblPrEx>
        <w:trPr>
          <w:trHeight w:val="322"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rPr>
                <w:bCs/>
              </w:rPr>
            </w:pPr>
            <w:r>
              <w:rPr>
                <w:rFonts w:hint="eastAsia"/>
                <w:bCs/>
              </w:rPr>
              <w:t>九年一贯制</w:t>
            </w:r>
          </w:p>
        </w:tc>
        <w:tc>
          <w:tcPr>
            <w:tcW w:w="6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pPr>
            <w:r>
              <w:rPr>
                <w:rFonts w:hint="eastAsia"/>
              </w:rPr>
              <w:t>区域统筹</w:t>
            </w:r>
          </w:p>
        </w:tc>
      </w:tr>
      <w:tr>
        <w:tblPrEx>
          <w:tblCellMar>
            <w:top w:w="0" w:type="dxa"/>
            <w:left w:w="0" w:type="dxa"/>
            <w:bottom w:w="0" w:type="dxa"/>
            <w:right w:w="0" w:type="dxa"/>
          </w:tblCellMar>
        </w:tblPrEx>
        <w:trPr>
          <w:trHeight w:val="322"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rPr>
                <w:bCs/>
              </w:rPr>
            </w:pPr>
            <w:r>
              <w:rPr>
                <w:rFonts w:hint="eastAsia"/>
              </w:rPr>
              <w:t>普高及中职</w:t>
            </w:r>
          </w:p>
        </w:tc>
        <w:tc>
          <w:tcPr>
            <w:tcW w:w="6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pPr>
            <w:r>
              <w:rPr>
                <w:rFonts w:hint="eastAsia"/>
              </w:rPr>
              <w:t>区域统筹</w:t>
            </w:r>
          </w:p>
        </w:tc>
      </w:tr>
      <w:tr>
        <w:tblPrEx>
          <w:tblCellMar>
            <w:top w:w="0" w:type="dxa"/>
            <w:left w:w="0" w:type="dxa"/>
            <w:bottom w:w="0" w:type="dxa"/>
            <w:right w:w="0" w:type="dxa"/>
          </w:tblCellMar>
        </w:tblPrEx>
        <w:trPr>
          <w:trHeight w:val="322"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rPr>
                <w:bCs/>
              </w:rPr>
            </w:pPr>
            <w:r>
              <w:rPr>
                <w:rFonts w:hint="eastAsia"/>
                <w:bCs/>
              </w:rPr>
              <w:t>完全中学</w:t>
            </w:r>
          </w:p>
        </w:tc>
        <w:tc>
          <w:tcPr>
            <w:tcW w:w="6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pPr>
            <w:r>
              <w:rPr>
                <w:rFonts w:hint="eastAsia"/>
              </w:rPr>
              <w:t>区域统筹</w:t>
            </w:r>
          </w:p>
        </w:tc>
      </w:tr>
      <w:tr>
        <w:tblPrEx>
          <w:tblCellMar>
            <w:top w:w="0" w:type="dxa"/>
            <w:left w:w="0" w:type="dxa"/>
            <w:bottom w:w="0" w:type="dxa"/>
            <w:right w:w="0" w:type="dxa"/>
          </w:tblCellMar>
        </w:tblPrEx>
        <w:trPr>
          <w:trHeight w:val="49"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rPr>
                <w:bCs/>
              </w:rPr>
            </w:pPr>
            <w:r>
              <w:rPr>
                <w:rFonts w:hint="eastAsia"/>
                <w:bCs/>
              </w:rPr>
              <w:t>十二年一贯制</w:t>
            </w:r>
          </w:p>
        </w:tc>
        <w:tc>
          <w:tcPr>
            <w:tcW w:w="6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34"/>
              <w:adjustRightInd w:val="0"/>
              <w:snapToGrid w:val="0"/>
              <w:spacing w:line="560" w:lineRule="exact"/>
            </w:pPr>
            <w:r>
              <w:rPr>
                <w:rFonts w:hint="eastAsia"/>
              </w:rPr>
              <w:t>区域统筹</w:t>
            </w:r>
          </w:p>
        </w:tc>
      </w:tr>
    </w:tbl>
    <w:p>
      <w:pPr>
        <w:pStyle w:val="4"/>
        <w:numPr>
          <w:ilvl w:val="0"/>
          <w:numId w:val="0"/>
        </w:numPr>
        <w:adjustRightInd w:val="0"/>
        <w:snapToGrid w:val="0"/>
        <w:ind w:firstLine="640" w:firstLineChars="200"/>
        <w:rPr>
          <w:b w:val="0"/>
          <w:bCs w:val="0"/>
        </w:rPr>
      </w:pPr>
      <w:bookmarkStart w:id="29" w:name="_Toc102124970"/>
      <w:r>
        <w:rPr>
          <w:rFonts w:hint="eastAsia"/>
          <w:b w:val="0"/>
          <w:bCs w:val="0"/>
        </w:rPr>
        <w:t>（二）高等教育设施规划标准</w:t>
      </w:r>
      <w:bookmarkEnd w:id="29"/>
      <w:r>
        <w:rPr>
          <w:rFonts w:hint="eastAsia"/>
          <w:b w:val="0"/>
          <w:bCs w:val="0"/>
        </w:rPr>
        <w:t>。</w:t>
      </w:r>
    </w:p>
    <w:p>
      <w:pPr>
        <w:pStyle w:val="5"/>
        <w:numPr>
          <w:ilvl w:val="0"/>
          <w:numId w:val="10"/>
        </w:numPr>
        <w:adjustRightInd w:val="0"/>
        <w:snapToGrid w:val="0"/>
        <w:ind w:firstLine="640"/>
      </w:pPr>
      <w:r>
        <w:rPr>
          <w:rFonts w:hint="eastAsia"/>
        </w:rPr>
        <w:t>生均用地面积</w:t>
      </w:r>
    </w:p>
    <w:p>
      <w:pPr>
        <w:adjustRightInd w:val="0"/>
        <w:snapToGrid w:val="0"/>
        <w:ind w:firstLine="640"/>
      </w:pPr>
      <w:r>
        <w:rPr>
          <w:rFonts w:hint="eastAsia"/>
        </w:rPr>
        <w:t>生均用地面积应不少于54</w:t>
      </w:r>
      <w:r>
        <w:rPr>
          <w:rFonts w:hint="eastAsia" w:ascii="Segoe UI Symbol" w:hAnsi="Segoe UI Symbol" w:eastAsia="Segoe UI Symbol" w:cs="Segoe UI Symbol"/>
        </w:rPr>
        <w:t>㎡</w:t>
      </w:r>
      <w:r>
        <w:rPr>
          <w:rFonts w:hint="eastAsia"/>
        </w:rPr>
        <w:t>/生，不同类别学校生均占地面积应落实相应标准要求。本科</w:t>
      </w:r>
      <w:r>
        <w:t>院校</w:t>
      </w:r>
      <w:r>
        <w:rPr>
          <w:rFonts w:hint="eastAsia"/>
        </w:rPr>
        <w:t>占地面积应达到33.33公顷（</w:t>
      </w:r>
      <w:r>
        <w:t>500亩</w:t>
      </w:r>
      <w:r>
        <w:rPr>
          <w:rFonts w:hint="eastAsia"/>
        </w:rPr>
        <w:t>）</w:t>
      </w:r>
      <w:r>
        <w:t>以上。</w:t>
      </w:r>
    </w:p>
    <w:p>
      <w:pPr>
        <w:pStyle w:val="5"/>
        <w:numPr>
          <w:ilvl w:val="0"/>
          <w:numId w:val="10"/>
        </w:numPr>
        <w:adjustRightInd w:val="0"/>
        <w:snapToGrid w:val="0"/>
        <w:ind w:firstLine="640"/>
      </w:pPr>
      <w:r>
        <w:rPr>
          <w:rFonts w:hint="eastAsia"/>
        </w:rPr>
        <w:t>生均建筑面积</w:t>
      </w:r>
    </w:p>
    <w:p>
      <w:pPr>
        <w:adjustRightInd w:val="0"/>
        <w:snapToGrid w:val="0"/>
        <w:ind w:firstLine="640"/>
      </w:pPr>
      <w:r>
        <w:rPr>
          <w:rFonts w:hint="eastAsia"/>
        </w:rPr>
        <w:t>本科院校生均建筑面积不少于</w:t>
      </w:r>
      <w:r>
        <w:t>21.80</w:t>
      </w:r>
      <w:r>
        <w:rPr>
          <w:rFonts w:ascii="Segoe UI Symbol" w:hAnsi="Segoe UI Symbol" w:cs="Segoe UI Symbol"/>
        </w:rPr>
        <w:t>㎡</w:t>
      </w:r>
      <w:r>
        <w:t>/生，</w:t>
      </w:r>
      <w:r>
        <w:rPr>
          <w:rFonts w:hint="eastAsia"/>
        </w:rPr>
        <w:t>高职（专）院校生均建筑面积不小于</w:t>
      </w:r>
      <w:r>
        <w:t>20.07</w:t>
      </w:r>
      <w:r>
        <w:rPr>
          <w:rFonts w:ascii="Segoe UI Symbol" w:hAnsi="Segoe UI Symbol" w:cs="Segoe UI Symbol"/>
        </w:rPr>
        <w:t>㎡</w:t>
      </w:r>
      <w:r>
        <w:t>/生</w:t>
      </w:r>
      <w:r>
        <w:rPr>
          <w:rFonts w:hint="eastAsia"/>
        </w:rPr>
        <w:t>，</w:t>
      </w:r>
      <w:r>
        <w:t>不同类别学校生均占地面积应落实相应标准要求</w:t>
      </w:r>
      <w:r>
        <w:rPr>
          <w:rFonts w:hint="eastAsia"/>
        </w:rPr>
        <w:t>。</w:t>
      </w:r>
    </w:p>
    <w:p>
      <w:pPr>
        <w:pStyle w:val="4"/>
        <w:numPr>
          <w:ilvl w:val="0"/>
          <w:numId w:val="0"/>
        </w:numPr>
        <w:adjustRightInd w:val="0"/>
        <w:snapToGrid w:val="0"/>
        <w:ind w:firstLine="640" w:firstLineChars="200"/>
        <w:rPr>
          <w:b w:val="0"/>
          <w:bCs w:val="0"/>
        </w:rPr>
      </w:pPr>
      <w:bookmarkStart w:id="30" w:name="_Toc102124971"/>
      <w:r>
        <w:rPr>
          <w:rFonts w:hint="eastAsia"/>
          <w:b w:val="0"/>
          <w:bCs w:val="0"/>
        </w:rPr>
        <w:t>（三）特殊教育设施规划标准</w:t>
      </w:r>
      <w:bookmarkEnd w:id="30"/>
      <w:r>
        <w:rPr>
          <w:rFonts w:hint="eastAsia"/>
          <w:b w:val="0"/>
          <w:bCs w:val="0"/>
        </w:rPr>
        <w:t>。</w:t>
      </w:r>
    </w:p>
    <w:p>
      <w:pPr>
        <w:adjustRightInd w:val="0"/>
        <w:snapToGrid w:val="0"/>
        <w:ind w:firstLine="640"/>
      </w:pPr>
      <w:r>
        <w:rPr>
          <w:rFonts w:hint="eastAsia"/>
        </w:rPr>
        <w:t>特殊教育设施规划建设标准应依照《特殊教育学校建设标准（建标156-2011）》、《特殊教育学校建筑设计标准（JGJ 76-2019）》等标准规范执行。</w:t>
      </w:r>
    </w:p>
    <w:p>
      <w:pPr>
        <w:adjustRightInd w:val="0"/>
        <w:snapToGrid w:val="0"/>
        <w:ind w:firstLine="640"/>
        <w:sectPr>
          <w:pgSz w:w="11906" w:h="16838"/>
          <w:pgMar w:top="1440" w:right="1800" w:bottom="1440" w:left="1800" w:header="851" w:footer="992" w:gutter="0"/>
          <w:pgNumType w:start="1"/>
          <w:cols w:space="425" w:num="1"/>
          <w:docGrid w:type="lines" w:linePitch="312" w:charSpace="0"/>
        </w:sectPr>
      </w:pPr>
    </w:p>
    <w:p>
      <w:pPr>
        <w:pStyle w:val="3"/>
        <w:numPr>
          <w:ilvl w:val="0"/>
          <w:numId w:val="0"/>
        </w:numPr>
        <w:adjustRightInd w:val="0"/>
        <w:snapToGrid w:val="0"/>
        <w:ind w:firstLine="640" w:firstLineChars="200"/>
        <w:rPr>
          <w:b w:val="0"/>
          <w:bCs/>
        </w:rPr>
      </w:pPr>
      <w:bookmarkStart w:id="31" w:name="_Toc85826586"/>
      <w:bookmarkStart w:id="32" w:name="_Toc84855742"/>
      <w:bookmarkStart w:id="33" w:name="_Toc83826179"/>
      <w:r>
        <w:rPr>
          <w:rFonts w:hint="eastAsia"/>
          <w:b w:val="0"/>
          <w:bCs/>
        </w:rPr>
        <w:t>八、人口规模与教育设施需求预测</w:t>
      </w:r>
      <w:bookmarkEnd w:id="31"/>
      <w:bookmarkEnd w:id="32"/>
      <w:bookmarkEnd w:id="33"/>
    </w:p>
    <w:p>
      <w:pPr>
        <w:pStyle w:val="4"/>
        <w:numPr>
          <w:ilvl w:val="0"/>
          <w:numId w:val="0"/>
        </w:numPr>
        <w:adjustRightInd w:val="0"/>
        <w:snapToGrid w:val="0"/>
        <w:ind w:firstLine="640" w:firstLineChars="200"/>
        <w:rPr>
          <w:b w:val="0"/>
          <w:bCs w:val="0"/>
        </w:rPr>
      </w:pPr>
      <w:r>
        <w:rPr>
          <w:rFonts w:hint="eastAsia"/>
          <w:b w:val="0"/>
          <w:bCs w:val="0"/>
        </w:rPr>
        <w:t>（一）人口规模预测。</w:t>
      </w:r>
    </w:p>
    <w:p>
      <w:pPr>
        <w:adjustRightInd w:val="0"/>
        <w:snapToGrid w:val="0"/>
        <w:ind w:firstLine="640"/>
      </w:pPr>
      <w:r>
        <w:rPr>
          <w:rFonts w:hint="eastAsia"/>
        </w:rPr>
        <w:t>本次规划</w:t>
      </w:r>
      <w:r>
        <w:t>人口规模衔接《</w:t>
      </w:r>
      <w:r>
        <w:rPr>
          <w:rFonts w:hint="eastAsia"/>
        </w:rPr>
        <w:t>佛山市</w:t>
      </w:r>
      <w:r>
        <w:t>国土空间</w:t>
      </w:r>
      <w:r>
        <w:rPr>
          <w:rFonts w:hint="eastAsia"/>
        </w:rPr>
        <w:t>总体</w:t>
      </w:r>
      <w:r>
        <w:t>规划（</w:t>
      </w:r>
      <w:r>
        <w:rPr>
          <w:rFonts w:hint="eastAsia"/>
        </w:rPr>
        <w:t>2020</w:t>
      </w:r>
      <w:r>
        <w:t>-2035）》</w:t>
      </w:r>
      <w:r>
        <w:rPr>
          <w:rFonts w:hint="eastAsia"/>
        </w:rPr>
        <w:t>。</w:t>
      </w:r>
    </w:p>
    <w:p>
      <w:pPr>
        <w:adjustRightInd w:val="0"/>
        <w:snapToGrid w:val="0"/>
        <w:ind w:firstLine="640"/>
      </w:pPr>
      <w:r>
        <w:rPr>
          <w:rFonts w:hint="eastAsia"/>
        </w:rPr>
        <w:t>至2025年</w:t>
      </w:r>
      <w:r>
        <w:t>，全市常住人口规模</w:t>
      </w:r>
      <w:r>
        <w:rPr>
          <w:rFonts w:hint="eastAsia"/>
        </w:rPr>
        <w:t>为1045万人，</w:t>
      </w:r>
      <w:r>
        <w:t>其中禅城区</w:t>
      </w:r>
      <w:r>
        <w:rPr>
          <w:rFonts w:hint="eastAsia"/>
        </w:rPr>
        <w:t>145万人</w:t>
      </w:r>
      <w:r>
        <w:t>，南海</w:t>
      </w:r>
      <w:r>
        <w:rPr>
          <w:rFonts w:hint="eastAsia"/>
        </w:rPr>
        <w:t>区400万人</w:t>
      </w:r>
      <w:r>
        <w:t>，</w:t>
      </w:r>
      <w:r>
        <w:rPr>
          <w:rFonts w:hint="eastAsia"/>
        </w:rPr>
        <w:t>顺德</w:t>
      </w:r>
      <w:r>
        <w:t>区</w:t>
      </w:r>
      <w:r>
        <w:rPr>
          <w:rFonts w:hint="eastAsia"/>
        </w:rPr>
        <w:t>360万人</w:t>
      </w:r>
      <w:r>
        <w:t>，</w:t>
      </w:r>
      <w:r>
        <w:rPr>
          <w:rFonts w:hint="eastAsia"/>
        </w:rPr>
        <w:t>高明区50万人</w:t>
      </w:r>
      <w:r>
        <w:t>，</w:t>
      </w:r>
      <w:r>
        <w:rPr>
          <w:rFonts w:hint="eastAsia"/>
        </w:rPr>
        <w:t>三水区90万人。</w:t>
      </w:r>
    </w:p>
    <w:p>
      <w:pPr>
        <w:adjustRightInd w:val="0"/>
        <w:snapToGrid w:val="0"/>
        <w:ind w:firstLine="640"/>
      </w:pPr>
      <w:r>
        <w:t>至</w:t>
      </w:r>
      <w:r>
        <w:rPr>
          <w:rFonts w:hint="eastAsia"/>
        </w:rPr>
        <w:t>2035年</w:t>
      </w:r>
      <w:r>
        <w:t>，全市常住人口规模为</w:t>
      </w:r>
      <w:r>
        <w:rPr>
          <w:rFonts w:hint="eastAsia"/>
        </w:rPr>
        <w:t>1170万人，</w:t>
      </w:r>
      <w:r>
        <w:t>其中禅城区</w:t>
      </w:r>
      <w:r>
        <w:rPr>
          <w:rFonts w:hint="eastAsia"/>
        </w:rPr>
        <w:t>1</w:t>
      </w:r>
      <w:r>
        <w:t>60</w:t>
      </w:r>
      <w:r>
        <w:rPr>
          <w:rFonts w:hint="eastAsia"/>
        </w:rPr>
        <w:t>万人</w:t>
      </w:r>
      <w:r>
        <w:t>，南海</w:t>
      </w:r>
      <w:r>
        <w:rPr>
          <w:rFonts w:hint="eastAsia"/>
        </w:rPr>
        <w:t>区4</w:t>
      </w:r>
      <w:r>
        <w:t>40</w:t>
      </w:r>
      <w:r>
        <w:rPr>
          <w:rFonts w:hint="eastAsia"/>
        </w:rPr>
        <w:t>万人</w:t>
      </w:r>
      <w:r>
        <w:t>，</w:t>
      </w:r>
      <w:r>
        <w:rPr>
          <w:rFonts w:hint="eastAsia"/>
        </w:rPr>
        <w:t>顺德</w:t>
      </w:r>
      <w:r>
        <w:t>区40</w:t>
      </w:r>
      <w:r>
        <w:rPr>
          <w:rFonts w:hint="eastAsia"/>
        </w:rPr>
        <w:t>0万人</w:t>
      </w:r>
      <w:r>
        <w:t>，</w:t>
      </w:r>
      <w:r>
        <w:rPr>
          <w:rFonts w:hint="eastAsia"/>
        </w:rPr>
        <w:t>高明区</w:t>
      </w:r>
      <w:r>
        <w:t>65</w:t>
      </w:r>
      <w:r>
        <w:rPr>
          <w:rFonts w:hint="eastAsia"/>
        </w:rPr>
        <w:t>万人</w:t>
      </w:r>
      <w:r>
        <w:t>，</w:t>
      </w:r>
      <w:r>
        <w:rPr>
          <w:rFonts w:hint="eastAsia"/>
        </w:rPr>
        <w:t>三水区</w:t>
      </w:r>
      <w:r>
        <w:t>105</w:t>
      </w:r>
      <w:r>
        <w:rPr>
          <w:rFonts w:hint="eastAsia"/>
        </w:rPr>
        <w:t>万人</w:t>
      </w:r>
      <w:r>
        <w:t>。</w:t>
      </w:r>
      <w:bookmarkStart w:id="34" w:name="_Toc84855743"/>
      <w:bookmarkStart w:id="35" w:name="_Toc85826587"/>
      <w:bookmarkStart w:id="36" w:name="_Toc83826180"/>
      <w:bookmarkStart w:id="37" w:name="_Toc83301539"/>
      <w:bookmarkStart w:id="38" w:name="_Toc16885"/>
    </w:p>
    <w:p>
      <w:pPr>
        <w:pStyle w:val="4"/>
        <w:numPr>
          <w:ilvl w:val="0"/>
          <w:numId w:val="0"/>
        </w:numPr>
        <w:adjustRightInd w:val="0"/>
        <w:snapToGrid w:val="0"/>
        <w:ind w:firstLine="640" w:firstLineChars="200"/>
        <w:rPr>
          <w:b w:val="0"/>
          <w:bCs w:val="0"/>
        </w:rPr>
      </w:pPr>
      <w:r>
        <w:rPr>
          <w:rFonts w:hint="eastAsia"/>
          <w:b w:val="0"/>
          <w:bCs w:val="0"/>
        </w:rPr>
        <w:t>（二）教育设施需求预测</w:t>
      </w:r>
      <w:bookmarkEnd w:id="34"/>
      <w:bookmarkEnd w:id="35"/>
      <w:bookmarkEnd w:id="36"/>
      <w:bookmarkEnd w:id="37"/>
      <w:bookmarkEnd w:id="38"/>
      <w:r>
        <w:rPr>
          <w:rFonts w:hint="eastAsia"/>
          <w:b w:val="0"/>
          <w:bCs w:val="0"/>
        </w:rPr>
        <w:t>。</w:t>
      </w:r>
    </w:p>
    <w:p>
      <w:pPr>
        <w:pStyle w:val="5"/>
        <w:numPr>
          <w:ilvl w:val="0"/>
          <w:numId w:val="11"/>
        </w:numPr>
        <w:adjustRightInd w:val="0"/>
        <w:snapToGrid w:val="0"/>
        <w:ind w:firstLine="640"/>
      </w:pPr>
      <w:r>
        <w:rPr>
          <w:rFonts w:hint="eastAsia"/>
        </w:rPr>
        <w:t>基础教育设施需求预测。</w:t>
      </w:r>
    </w:p>
    <w:p>
      <w:pPr>
        <w:adjustRightInd w:val="0"/>
        <w:snapToGrid w:val="0"/>
        <w:ind w:firstLine="640"/>
      </w:pPr>
      <w:r>
        <w:rPr>
          <w:rFonts w:hint="eastAsia"/>
        </w:rPr>
        <w:t>（1） 幼儿园</w:t>
      </w:r>
      <w:r>
        <w:t>学位需求</w:t>
      </w:r>
      <w:r>
        <w:rPr>
          <w:rFonts w:hint="eastAsia"/>
        </w:rPr>
        <w:t>预测。</w:t>
      </w:r>
    </w:p>
    <w:p>
      <w:pPr>
        <w:adjustRightInd w:val="0"/>
        <w:snapToGrid w:val="0"/>
        <w:ind w:firstLine="640"/>
      </w:pPr>
      <w:r>
        <w:rPr>
          <w:rFonts w:hint="eastAsia"/>
        </w:rPr>
        <w:t>幼儿园</w:t>
      </w:r>
      <w:r>
        <w:t>千人学位数标准为</w:t>
      </w:r>
      <w:r>
        <w:rPr>
          <w:rFonts w:hint="eastAsia"/>
        </w:rPr>
        <w:t>40学位/千人</w:t>
      </w:r>
      <w:r>
        <w:t>，按</w:t>
      </w:r>
      <w:r>
        <w:rPr>
          <w:rFonts w:hint="eastAsia"/>
        </w:rPr>
        <w:t>2035年</w:t>
      </w:r>
      <w:r>
        <w:t>人口规模</w:t>
      </w:r>
      <w:r>
        <w:rPr>
          <w:rFonts w:hint="eastAsia"/>
        </w:rPr>
        <w:t>1170万人</w:t>
      </w:r>
      <w:r>
        <w:t>，则学位</w:t>
      </w:r>
      <w:r>
        <w:rPr>
          <w:rFonts w:hint="eastAsia"/>
        </w:rPr>
        <w:t>需求数</w:t>
      </w:r>
      <w:r>
        <w:t>为</w:t>
      </w:r>
      <w:r>
        <w:rPr>
          <w:rFonts w:hint="eastAsia"/>
        </w:rPr>
        <w:t>46.8万座</w:t>
      </w:r>
      <w:r>
        <w:t>，</w:t>
      </w:r>
      <w:r>
        <w:rPr>
          <w:rFonts w:hint="eastAsia"/>
        </w:rPr>
        <w:t>按照</w:t>
      </w:r>
      <w:r>
        <w:t>平均</w:t>
      </w:r>
      <w:r>
        <w:rPr>
          <w:rFonts w:hint="eastAsia"/>
        </w:rPr>
        <w:t>每</w:t>
      </w:r>
      <w:r>
        <w:t>校540人</w:t>
      </w:r>
      <w:r>
        <w:rPr>
          <w:rStyle w:val="18"/>
          <w:rFonts w:cs="Times New Roman"/>
        </w:rPr>
        <w:footnoteReference w:id="0"/>
      </w:r>
      <w:r>
        <w:rPr>
          <w:rFonts w:hint="eastAsia"/>
        </w:rPr>
        <w:t>计算</w:t>
      </w:r>
      <w:r>
        <w:t>，</w:t>
      </w:r>
      <w:r>
        <w:rPr>
          <w:rFonts w:hint="eastAsia"/>
        </w:rPr>
        <w:t>学校需求数</w:t>
      </w:r>
      <w:r>
        <w:t>为867所</w:t>
      </w:r>
      <w:r>
        <w:rPr>
          <w:rFonts w:hint="eastAsia"/>
        </w:rPr>
        <w:t>。</w:t>
      </w:r>
    </w:p>
    <w:p>
      <w:pPr>
        <w:adjustRightInd w:val="0"/>
        <w:snapToGrid w:val="0"/>
        <w:ind w:firstLine="640"/>
      </w:pPr>
      <w:r>
        <w:rPr>
          <w:rFonts w:hint="eastAsia"/>
        </w:rPr>
        <w:t>（</w:t>
      </w:r>
      <w:r>
        <w:t>2</w:t>
      </w:r>
      <w:r>
        <w:rPr>
          <w:rFonts w:hint="eastAsia"/>
        </w:rPr>
        <w:t>） 小学</w:t>
      </w:r>
      <w:r>
        <w:t>学位需求</w:t>
      </w:r>
      <w:r>
        <w:rPr>
          <w:rFonts w:hint="eastAsia"/>
        </w:rPr>
        <w:t>预测。</w:t>
      </w:r>
    </w:p>
    <w:p>
      <w:pPr>
        <w:adjustRightInd w:val="0"/>
        <w:snapToGrid w:val="0"/>
        <w:ind w:firstLine="640"/>
      </w:pPr>
      <w:r>
        <w:rPr>
          <w:rFonts w:hint="eastAsia"/>
        </w:rPr>
        <w:t>小学</w:t>
      </w:r>
      <w:r>
        <w:t>千人学位数标准为8</w:t>
      </w:r>
      <w:r>
        <w:rPr>
          <w:rFonts w:hint="eastAsia"/>
        </w:rPr>
        <w:t>0学位/千人</w:t>
      </w:r>
      <w:r>
        <w:t>，按</w:t>
      </w:r>
      <w:r>
        <w:rPr>
          <w:rFonts w:hint="eastAsia"/>
        </w:rPr>
        <w:t>2035年</w:t>
      </w:r>
      <w:r>
        <w:t>人口规模</w:t>
      </w:r>
      <w:r>
        <w:rPr>
          <w:rFonts w:hint="eastAsia"/>
        </w:rPr>
        <w:t>1170万人</w:t>
      </w:r>
      <w:r>
        <w:t>，则学位</w:t>
      </w:r>
      <w:r>
        <w:rPr>
          <w:rFonts w:hint="eastAsia"/>
        </w:rPr>
        <w:t>需求数</w:t>
      </w:r>
      <w:r>
        <w:t>为93.6</w:t>
      </w:r>
      <w:r>
        <w:rPr>
          <w:rFonts w:hint="eastAsia"/>
        </w:rPr>
        <w:t>万座</w:t>
      </w:r>
      <w:r>
        <w:t>，</w:t>
      </w:r>
      <w:r>
        <w:rPr>
          <w:rFonts w:hint="eastAsia"/>
        </w:rPr>
        <w:t>按照</w:t>
      </w:r>
      <w:r>
        <w:t>平均</w:t>
      </w:r>
      <w:r>
        <w:rPr>
          <w:rFonts w:hint="eastAsia"/>
        </w:rPr>
        <w:t>每</w:t>
      </w:r>
      <w:r>
        <w:t>校1620人</w:t>
      </w:r>
      <w:r>
        <w:rPr>
          <w:rStyle w:val="18"/>
          <w:rFonts w:cs="Times New Roman"/>
        </w:rPr>
        <w:footnoteReference w:id="1"/>
      </w:r>
      <w:r>
        <w:rPr>
          <w:rFonts w:hint="eastAsia"/>
        </w:rPr>
        <w:t>计算</w:t>
      </w:r>
      <w:r>
        <w:t>，</w:t>
      </w:r>
      <w:r>
        <w:rPr>
          <w:rFonts w:hint="eastAsia"/>
        </w:rPr>
        <w:t>学校需求数</w:t>
      </w:r>
      <w:r>
        <w:t>为578所</w:t>
      </w:r>
      <w:r>
        <w:rPr>
          <w:rFonts w:hint="eastAsia"/>
        </w:rPr>
        <w:t>。</w:t>
      </w:r>
    </w:p>
    <w:p>
      <w:pPr>
        <w:adjustRightInd w:val="0"/>
        <w:snapToGrid w:val="0"/>
        <w:ind w:firstLine="640"/>
      </w:pPr>
      <w:r>
        <w:rPr>
          <w:rFonts w:hint="eastAsia"/>
        </w:rPr>
        <w:t>（</w:t>
      </w:r>
      <w:r>
        <w:t>3</w:t>
      </w:r>
      <w:r>
        <w:rPr>
          <w:rFonts w:hint="eastAsia"/>
        </w:rPr>
        <w:t>） 初中学位需求预测。</w:t>
      </w:r>
    </w:p>
    <w:p>
      <w:pPr>
        <w:adjustRightInd w:val="0"/>
        <w:snapToGrid w:val="0"/>
        <w:ind w:firstLine="640"/>
      </w:pPr>
      <w:r>
        <w:rPr>
          <w:rFonts w:hint="eastAsia"/>
        </w:rPr>
        <w:t>初中</w:t>
      </w:r>
      <w:r>
        <w:t>千人学位数标准为4</w:t>
      </w:r>
      <w:r>
        <w:rPr>
          <w:rFonts w:hint="eastAsia"/>
        </w:rPr>
        <w:t>0学位/千人</w:t>
      </w:r>
      <w:r>
        <w:t>，按</w:t>
      </w:r>
      <w:r>
        <w:rPr>
          <w:rFonts w:hint="eastAsia"/>
        </w:rPr>
        <w:t>2035年</w:t>
      </w:r>
      <w:r>
        <w:t>人口规模</w:t>
      </w:r>
      <w:r>
        <w:rPr>
          <w:rFonts w:hint="eastAsia"/>
        </w:rPr>
        <w:t>1170万人</w:t>
      </w:r>
      <w:r>
        <w:t>，则学位</w:t>
      </w:r>
      <w:r>
        <w:rPr>
          <w:rFonts w:hint="eastAsia"/>
        </w:rPr>
        <w:t>需求数</w:t>
      </w:r>
      <w:r>
        <w:t>为46.8</w:t>
      </w:r>
      <w:r>
        <w:rPr>
          <w:rFonts w:hint="eastAsia"/>
        </w:rPr>
        <w:t>万座</w:t>
      </w:r>
      <w:r>
        <w:t>，</w:t>
      </w:r>
      <w:r>
        <w:rPr>
          <w:rFonts w:hint="eastAsia"/>
        </w:rPr>
        <w:t>按照</w:t>
      </w:r>
      <w:r>
        <w:t>平均</w:t>
      </w:r>
      <w:r>
        <w:rPr>
          <w:rFonts w:hint="eastAsia"/>
        </w:rPr>
        <w:t>每</w:t>
      </w:r>
      <w:r>
        <w:t>校1800人</w:t>
      </w:r>
      <w:r>
        <w:rPr>
          <w:rStyle w:val="18"/>
          <w:rFonts w:cs="Times New Roman"/>
        </w:rPr>
        <w:footnoteReference w:id="2"/>
      </w:r>
      <w:r>
        <w:rPr>
          <w:rFonts w:hint="eastAsia"/>
        </w:rPr>
        <w:t>计算</w:t>
      </w:r>
      <w:r>
        <w:t>，</w:t>
      </w:r>
      <w:r>
        <w:rPr>
          <w:rFonts w:hint="eastAsia"/>
        </w:rPr>
        <w:t>学校需求数</w:t>
      </w:r>
      <w:r>
        <w:t>为260所</w:t>
      </w:r>
      <w:r>
        <w:rPr>
          <w:rFonts w:hint="eastAsia"/>
        </w:rPr>
        <w:t>。</w:t>
      </w:r>
    </w:p>
    <w:p>
      <w:pPr>
        <w:adjustRightInd w:val="0"/>
        <w:snapToGrid w:val="0"/>
        <w:ind w:firstLine="640"/>
      </w:pPr>
      <w:r>
        <w:rPr>
          <w:rFonts w:hint="eastAsia"/>
        </w:rPr>
        <w:t>（</w:t>
      </w:r>
      <w:r>
        <w:t>4</w:t>
      </w:r>
      <w:r>
        <w:rPr>
          <w:rFonts w:hint="eastAsia"/>
        </w:rPr>
        <w:t>） 高中阶段学位需求预测。</w:t>
      </w:r>
    </w:p>
    <w:p>
      <w:pPr>
        <w:adjustRightInd w:val="0"/>
        <w:snapToGrid w:val="0"/>
        <w:ind w:firstLine="640"/>
      </w:pPr>
      <w:r>
        <w:rPr>
          <w:rFonts w:hint="eastAsia"/>
        </w:rPr>
        <w:t>高中阶段</w:t>
      </w:r>
      <w:r>
        <w:t>千人学位数标准为4</w:t>
      </w:r>
      <w:r>
        <w:rPr>
          <w:rFonts w:hint="eastAsia"/>
        </w:rPr>
        <w:t>0学位/千人</w:t>
      </w:r>
      <w:r>
        <w:t>，按</w:t>
      </w:r>
      <w:r>
        <w:rPr>
          <w:rFonts w:hint="eastAsia"/>
        </w:rPr>
        <w:t>2035年</w:t>
      </w:r>
      <w:r>
        <w:t>人口规模</w:t>
      </w:r>
      <w:r>
        <w:rPr>
          <w:rFonts w:hint="eastAsia"/>
        </w:rPr>
        <w:t>1170万人</w:t>
      </w:r>
      <w:r>
        <w:t>，则学位</w:t>
      </w:r>
      <w:r>
        <w:rPr>
          <w:rFonts w:hint="eastAsia"/>
        </w:rPr>
        <w:t>需求数</w:t>
      </w:r>
      <w:r>
        <w:t>为46.8</w:t>
      </w:r>
      <w:r>
        <w:rPr>
          <w:rFonts w:hint="eastAsia"/>
        </w:rPr>
        <w:t>万座</w:t>
      </w:r>
      <w:r>
        <w:t>，</w:t>
      </w:r>
      <w:r>
        <w:rPr>
          <w:rFonts w:hint="eastAsia"/>
        </w:rPr>
        <w:t>按照</w:t>
      </w:r>
      <w:r>
        <w:t>平均</w:t>
      </w:r>
      <w:r>
        <w:rPr>
          <w:rFonts w:hint="eastAsia"/>
        </w:rPr>
        <w:t>每</w:t>
      </w:r>
      <w:r>
        <w:t>校3000人</w:t>
      </w:r>
      <w:r>
        <w:rPr>
          <w:rStyle w:val="18"/>
          <w:rFonts w:cs="Times New Roman"/>
        </w:rPr>
        <w:footnoteReference w:id="3"/>
      </w:r>
      <w:r>
        <w:rPr>
          <w:rFonts w:hint="eastAsia"/>
        </w:rPr>
        <w:t>计算</w:t>
      </w:r>
      <w:r>
        <w:t>，</w:t>
      </w:r>
      <w:r>
        <w:rPr>
          <w:rFonts w:hint="eastAsia"/>
        </w:rPr>
        <w:t>学校需求数</w:t>
      </w:r>
      <w:r>
        <w:t>为156所</w:t>
      </w:r>
      <w:r>
        <w:rPr>
          <w:rFonts w:hint="eastAsia"/>
        </w:rPr>
        <w:t>。</w:t>
      </w:r>
    </w:p>
    <w:p>
      <w:pPr>
        <w:pStyle w:val="5"/>
        <w:numPr>
          <w:ilvl w:val="0"/>
          <w:numId w:val="11"/>
        </w:numPr>
        <w:adjustRightInd w:val="0"/>
        <w:snapToGrid w:val="0"/>
        <w:ind w:firstLine="640"/>
      </w:pPr>
      <w:r>
        <w:rPr>
          <w:rFonts w:hint="eastAsia"/>
        </w:rPr>
        <w:t>高等教育设施需求预测。</w:t>
      </w:r>
    </w:p>
    <w:p>
      <w:pPr>
        <w:adjustRightInd w:val="0"/>
        <w:snapToGrid w:val="0"/>
        <w:ind w:firstLine="640"/>
        <w:sectPr>
          <w:pgSz w:w="11906" w:h="16838"/>
          <w:pgMar w:top="1440" w:right="1800" w:bottom="1440" w:left="1800" w:header="851" w:footer="992" w:gutter="0"/>
          <w:cols w:space="425" w:num="1"/>
          <w:docGrid w:type="lines" w:linePitch="312" w:charSpace="0"/>
        </w:sectPr>
      </w:pPr>
      <w:r>
        <w:rPr>
          <w:rFonts w:hint="eastAsia"/>
        </w:rPr>
        <w:t>至2</w:t>
      </w:r>
      <w:r>
        <w:t>035年</w:t>
      </w:r>
      <w:r>
        <w:rPr>
          <w:rFonts w:hint="eastAsia"/>
        </w:rPr>
        <w:t>，每十万在校大学生人数达</w:t>
      </w:r>
      <w:r>
        <w:t>2000</w:t>
      </w:r>
      <w:r>
        <w:rPr>
          <w:rFonts w:hint="eastAsia"/>
        </w:rPr>
        <w:t>人，大学生总人数达</w:t>
      </w:r>
      <w:r>
        <w:t>23.40</w:t>
      </w:r>
      <w:r>
        <w:rPr>
          <w:rFonts w:hint="eastAsia"/>
        </w:rPr>
        <w:t>万人，高校用地需达</w:t>
      </w:r>
      <w:r>
        <w:t>13.07</w:t>
      </w:r>
      <w:r>
        <w:rPr>
          <w:rFonts w:hint="eastAsia"/>
        </w:rPr>
        <w:t>平方公里。</w:t>
      </w:r>
    </w:p>
    <w:p>
      <w:pPr>
        <w:pStyle w:val="3"/>
        <w:numPr>
          <w:ilvl w:val="0"/>
          <w:numId w:val="0"/>
        </w:numPr>
        <w:adjustRightInd w:val="0"/>
        <w:snapToGrid w:val="0"/>
        <w:ind w:firstLine="640" w:firstLineChars="200"/>
        <w:rPr>
          <w:b w:val="0"/>
          <w:bCs/>
        </w:rPr>
      </w:pPr>
      <w:bookmarkStart w:id="39" w:name="_Toc85093737"/>
      <w:bookmarkStart w:id="40" w:name="_Toc85826588"/>
      <w:r>
        <w:rPr>
          <w:rFonts w:hint="eastAsia"/>
          <w:b w:val="0"/>
          <w:bCs/>
        </w:rPr>
        <w:t>九、学前及义务教育阶段教育设施规划要求</w:t>
      </w:r>
      <w:bookmarkEnd w:id="39"/>
      <w:bookmarkEnd w:id="40"/>
    </w:p>
    <w:p>
      <w:pPr>
        <w:pStyle w:val="4"/>
        <w:numPr>
          <w:ilvl w:val="0"/>
          <w:numId w:val="0"/>
        </w:numPr>
        <w:adjustRightInd w:val="0"/>
        <w:snapToGrid w:val="0"/>
        <w:ind w:firstLine="640" w:firstLineChars="200"/>
        <w:rPr>
          <w:b w:val="0"/>
          <w:bCs w:val="0"/>
        </w:rPr>
      </w:pPr>
      <w:bookmarkStart w:id="41" w:name="_Toc85826590"/>
      <w:r>
        <w:rPr>
          <w:rFonts w:hint="eastAsia"/>
          <w:b w:val="0"/>
          <w:bCs w:val="0"/>
        </w:rPr>
        <w:t>（一）规划思路。</w:t>
      </w:r>
    </w:p>
    <w:p>
      <w:pPr>
        <w:pStyle w:val="5"/>
        <w:numPr>
          <w:ilvl w:val="0"/>
          <w:numId w:val="12"/>
        </w:numPr>
        <w:adjustRightInd w:val="0"/>
        <w:snapToGrid w:val="0"/>
        <w:ind w:firstLine="640"/>
      </w:pPr>
      <w:r>
        <w:rPr>
          <w:rFonts w:hint="eastAsia"/>
        </w:rPr>
        <w:t>市区协同，突出市级统筹。</w:t>
      </w:r>
    </w:p>
    <w:p>
      <w:pPr>
        <w:pStyle w:val="5"/>
        <w:numPr>
          <w:ilvl w:val="0"/>
          <w:numId w:val="12"/>
        </w:numPr>
        <w:adjustRightInd w:val="0"/>
        <w:snapToGrid w:val="0"/>
        <w:ind w:firstLine="640"/>
      </w:pPr>
      <w:r>
        <w:rPr>
          <w:rFonts w:hint="eastAsia"/>
        </w:rPr>
        <w:t>统一标准，突出总量控制。</w:t>
      </w:r>
    </w:p>
    <w:p>
      <w:pPr>
        <w:pStyle w:val="5"/>
        <w:numPr>
          <w:ilvl w:val="0"/>
          <w:numId w:val="12"/>
        </w:numPr>
        <w:adjustRightInd w:val="0"/>
        <w:snapToGrid w:val="0"/>
        <w:ind w:firstLine="640"/>
      </w:pPr>
      <w:r>
        <w:rPr>
          <w:rFonts w:hint="eastAsia"/>
        </w:rPr>
        <w:t>分期实施，突出增量提质。</w:t>
      </w:r>
    </w:p>
    <w:p>
      <w:pPr>
        <w:pStyle w:val="5"/>
        <w:numPr>
          <w:ilvl w:val="0"/>
          <w:numId w:val="12"/>
        </w:numPr>
        <w:adjustRightInd w:val="0"/>
        <w:snapToGrid w:val="0"/>
        <w:ind w:firstLine="640"/>
      </w:pPr>
      <w:r>
        <w:rPr>
          <w:rFonts w:hint="eastAsia"/>
        </w:rPr>
        <w:t>区域平衡，突出教育公平。</w:t>
      </w:r>
    </w:p>
    <w:p>
      <w:pPr>
        <w:pStyle w:val="4"/>
        <w:numPr>
          <w:ilvl w:val="0"/>
          <w:numId w:val="0"/>
        </w:numPr>
        <w:adjustRightInd w:val="0"/>
        <w:snapToGrid w:val="0"/>
        <w:ind w:firstLine="640" w:firstLineChars="200"/>
        <w:rPr>
          <w:b w:val="0"/>
          <w:bCs w:val="0"/>
        </w:rPr>
      </w:pPr>
      <w:r>
        <w:rPr>
          <w:rFonts w:hint="eastAsia"/>
          <w:b w:val="0"/>
          <w:bCs w:val="0"/>
        </w:rPr>
        <w:t>（二）区级专项规划落实要求</w:t>
      </w:r>
      <w:bookmarkEnd w:id="41"/>
      <w:r>
        <w:rPr>
          <w:rFonts w:hint="eastAsia"/>
          <w:b w:val="0"/>
          <w:bCs w:val="0"/>
        </w:rPr>
        <w:t>。</w:t>
      </w:r>
    </w:p>
    <w:p>
      <w:pPr>
        <w:adjustRightInd w:val="0"/>
        <w:snapToGrid w:val="0"/>
        <w:ind w:firstLine="640"/>
      </w:pPr>
      <w:r>
        <w:rPr>
          <w:rFonts w:hint="eastAsia"/>
        </w:rPr>
        <w:t>各区教育专项规划需严格落实市级教育专项规划提出的学位总数，按照城乡统筹、均衡布局的原则提出学前及义务教育阶段设施布点方案，制定分期建设计划。</w:t>
      </w:r>
    </w:p>
    <w:p>
      <w:pPr>
        <w:pStyle w:val="4"/>
        <w:numPr>
          <w:ilvl w:val="0"/>
          <w:numId w:val="0"/>
        </w:numPr>
        <w:adjustRightInd w:val="0"/>
        <w:snapToGrid w:val="0"/>
        <w:ind w:firstLine="640" w:firstLineChars="200"/>
        <w:rPr>
          <w:b w:val="0"/>
          <w:bCs w:val="0"/>
        </w:rPr>
      </w:pPr>
      <w:bookmarkStart w:id="42" w:name="_Toc85826591"/>
      <w:r>
        <w:rPr>
          <w:rFonts w:hint="eastAsia"/>
          <w:b w:val="0"/>
          <w:bCs w:val="0"/>
        </w:rPr>
        <w:t>（三）十四五期间规划要求</w:t>
      </w:r>
      <w:bookmarkEnd w:id="42"/>
      <w:r>
        <w:rPr>
          <w:rFonts w:hint="eastAsia"/>
          <w:b w:val="0"/>
          <w:bCs w:val="0"/>
        </w:rPr>
        <w:t>。</w:t>
      </w:r>
    </w:p>
    <w:p>
      <w:pPr>
        <w:adjustRightInd w:val="0"/>
        <w:snapToGrid w:val="0"/>
        <w:ind w:firstLine="640"/>
      </w:pPr>
      <w:r>
        <w:rPr>
          <w:rFonts w:ascii="宋体" w:hAnsi="宋体"/>
        </w:rPr>
        <w:t>至</w:t>
      </w:r>
      <w:r>
        <w:rPr>
          <w:rFonts w:hint="eastAsia"/>
        </w:rPr>
        <w:t>20</w:t>
      </w:r>
      <w:r>
        <w:t>2</w:t>
      </w:r>
      <w:r>
        <w:rPr>
          <w:rFonts w:hint="eastAsia"/>
        </w:rPr>
        <w:t>5年学前及义务教育阶段教育设施</w:t>
      </w:r>
      <w:r>
        <w:t>学位</w:t>
      </w:r>
      <w:r>
        <w:rPr>
          <w:rFonts w:hint="eastAsia"/>
        </w:rPr>
        <w:t>数量需达到的规模如下：</w:t>
      </w:r>
    </w:p>
    <w:p>
      <w:pPr>
        <w:adjustRightInd w:val="0"/>
        <w:snapToGrid w:val="0"/>
        <w:ind w:firstLine="640"/>
      </w:pPr>
      <w:r>
        <w:rPr>
          <w:rFonts w:hint="eastAsia"/>
        </w:rPr>
        <w:t>全市幼儿园需达到学位386820座，其中禅城区57690座，南海区165370座，顺德区116410座，高明区18730座，三水区28620座。</w:t>
      </w:r>
    </w:p>
    <w:p>
      <w:pPr>
        <w:adjustRightInd w:val="0"/>
        <w:snapToGrid w:val="0"/>
        <w:ind w:firstLine="640"/>
      </w:pPr>
      <w:r>
        <w:rPr>
          <w:rFonts w:hint="eastAsia"/>
        </w:rPr>
        <w:t>全市小学阶段需达到学位803370座，其中禅城区113500座，南海区327400座，顺德区249890座，高明区42730座，三水区69850座。</w:t>
      </w:r>
    </w:p>
    <w:p>
      <w:pPr>
        <w:adjustRightInd w:val="0"/>
        <w:snapToGrid w:val="0"/>
        <w:ind w:firstLine="640"/>
      </w:pPr>
      <w:r>
        <w:rPr>
          <w:rFonts w:hint="eastAsia"/>
        </w:rPr>
        <w:t>全市初中阶段需达到学位381880座，其中禅城区50640座，南海区138300座，顺德区137040座，高明区19900座，三水区36000座。</w:t>
      </w:r>
    </w:p>
    <w:p>
      <w:pPr>
        <w:pStyle w:val="4"/>
        <w:numPr>
          <w:ilvl w:val="0"/>
          <w:numId w:val="0"/>
        </w:numPr>
        <w:adjustRightInd w:val="0"/>
        <w:snapToGrid w:val="0"/>
        <w:ind w:firstLine="640" w:firstLineChars="200"/>
        <w:rPr>
          <w:b w:val="0"/>
          <w:bCs w:val="0"/>
        </w:rPr>
      </w:pPr>
      <w:bookmarkStart w:id="43" w:name="_Toc85826592"/>
      <w:r>
        <w:rPr>
          <w:rFonts w:hint="eastAsia"/>
          <w:b w:val="0"/>
          <w:bCs w:val="0"/>
        </w:rPr>
        <w:t>（四）远期规划要求</w:t>
      </w:r>
      <w:bookmarkEnd w:id="43"/>
      <w:r>
        <w:rPr>
          <w:rFonts w:hint="eastAsia"/>
          <w:b w:val="0"/>
          <w:bCs w:val="0"/>
        </w:rPr>
        <w:t>。</w:t>
      </w:r>
    </w:p>
    <w:p>
      <w:pPr>
        <w:adjustRightInd w:val="0"/>
        <w:snapToGrid w:val="0"/>
        <w:ind w:firstLine="640"/>
      </w:pPr>
      <w:r>
        <w:t>至</w:t>
      </w:r>
      <w:r>
        <w:rPr>
          <w:rFonts w:hint="eastAsia"/>
        </w:rPr>
        <w:t>20</w:t>
      </w:r>
      <w:r>
        <w:t>3</w:t>
      </w:r>
      <w:r>
        <w:rPr>
          <w:rFonts w:hint="eastAsia"/>
        </w:rPr>
        <w:t>5年学前及义务教育阶段教育设施</w:t>
      </w:r>
      <w:r>
        <w:t>学位</w:t>
      </w:r>
      <w:r>
        <w:rPr>
          <w:rFonts w:hint="eastAsia"/>
        </w:rPr>
        <w:t>数量需达到的规模如下：</w:t>
      </w:r>
    </w:p>
    <w:p>
      <w:pPr>
        <w:adjustRightInd w:val="0"/>
        <w:snapToGrid w:val="0"/>
        <w:ind w:firstLine="640"/>
      </w:pPr>
      <w:r>
        <w:rPr>
          <w:rFonts w:hint="eastAsia"/>
        </w:rPr>
        <w:t>全市幼儿园需达到学位468000座。其中禅城区64000座，南海区176000座，顺德区160000座，高明区26000座，三水区42000座。</w:t>
      </w:r>
    </w:p>
    <w:p>
      <w:pPr>
        <w:adjustRightInd w:val="0"/>
        <w:snapToGrid w:val="0"/>
        <w:ind w:firstLine="640"/>
      </w:pPr>
      <w:r>
        <w:rPr>
          <w:rFonts w:hint="eastAsia"/>
        </w:rPr>
        <w:t>全市小学阶段需达到学位936000座。其中禅城区128000座，南海区352000座，顺德区320000座，高明区52000座，三水区84000座。</w:t>
      </w:r>
    </w:p>
    <w:p>
      <w:pPr>
        <w:adjustRightInd w:val="0"/>
        <w:snapToGrid w:val="0"/>
        <w:ind w:firstLine="640"/>
      </w:pPr>
      <w:r>
        <w:rPr>
          <w:rFonts w:hint="eastAsia"/>
        </w:rPr>
        <w:t>全市初中阶段学位需达到468000座。其中禅城区64000座，南海区176000座，顺德区160000座，高明区26000座，三水区42000座。</w:t>
      </w:r>
    </w:p>
    <w:p>
      <w:pPr>
        <w:pStyle w:val="4"/>
        <w:numPr>
          <w:ilvl w:val="0"/>
          <w:numId w:val="0"/>
        </w:numPr>
        <w:adjustRightInd w:val="0"/>
        <w:snapToGrid w:val="0"/>
        <w:ind w:left="218" w:leftChars="68" w:firstLine="320" w:firstLineChars="100"/>
        <w:rPr>
          <w:b w:val="0"/>
          <w:bCs w:val="0"/>
        </w:rPr>
      </w:pPr>
      <w:bookmarkStart w:id="44" w:name="_Toc85826593"/>
      <w:r>
        <w:rPr>
          <w:rFonts w:hint="eastAsia"/>
          <w:b w:val="0"/>
          <w:bCs w:val="0"/>
        </w:rPr>
        <w:t>（五）设施传导基本指引</w:t>
      </w:r>
      <w:bookmarkEnd w:id="44"/>
      <w:r>
        <w:rPr>
          <w:rFonts w:hint="eastAsia"/>
          <w:b w:val="0"/>
          <w:bCs w:val="0"/>
        </w:rPr>
        <w:t>。</w:t>
      </w:r>
    </w:p>
    <w:p>
      <w:pPr>
        <w:pStyle w:val="5"/>
        <w:numPr>
          <w:ilvl w:val="0"/>
          <w:numId w:val="13"/>
        </w:numPr>
        <w:adjustRightInd w:val="0"/>
        <w:snapToGrid w:val="0"/>
        <w:ind w:firstLine="640"/>
      </w:pPr>
      <w:r>
        <w:rPr>
          <w:rFonts w:hint="eastAsia"/>
        </w:rPr>
        <w:t>区级专规设施平衡范围的要求。</w:t>
      </w:r>
    </w:p>
    <w:p>
      <w:pPr>
        <w:adjustRightInd w:val="0"/>
        <w:snapToGrid w:val="0"/>
        <w:ind w:firstLine="640"/>
      </w:pPr>
      <w:r>
        <w:rPr>
          <w:rFonts w:hint="eastAsia"/>
        </w:rPr>
        <w:t>学前</w:t>
      </w:r>
      <w:r>
        <w:t>及义务教育阶段</w:t>
      </w:r>
      <w:r>
        <w:rPr>
          <w:rFonts w:hint="eastAsia"/>
        </w:rPr>
        <w:t>教育</w:t>
      </w:r>
      <w:r>
        <w:t>设施</w:t>
      </w:r>
      <w:r>
        <w:rPr>
          <w:rFonts w:hint="eastAsia"/>
        </w:rPr>
        <w:t>原则</w:t>
      </w:r>
      <w:r>
        <w:t>上以</w:t>
      </w:r>
      <w:r>
        <w:rPr>
          <w:rFonts w:hint="eastAsia"/>
        </w:rPr>
        <w:t>控制性详细规划</w:t>
      </w:r>
      <w:r>
        <w:t>单元作为</w:t>
      </w:r>
      <w:r>
        <w:rPr>
          <w:rFonts w:hint="eastAsia"/>
        </w:rPr>
        <w:t>学位</w:t>
      </w:r>
      <w:r>
        <w:t>统筹范围</w:t>
      </w:r>
      <w:r>
        <w:rPr>
          <w:rFonts w:hint="eastAsia"/>
        </w:rPr>
        <w:t>，各区</w:t>
      </w:r>
      <w:r>
        <w:t>专规编制中，应按</w:t>
      </w:r>
      <w:r>
        <w:rPr>
          <w:rFonts w:hint="eastAsia"/>
        </w:rPr>
        <w:t>各单元</w:t>
      </w:r>
      <w:r>
        <w:t>分解人口及</w:t>
      </w:r>
      <w:r>
        <w:rPr>
          <w:rFonts w:hint="eastAsia"/>
        </w:rPr>
        <w:t>各学段</w:t>
      </w:r>
      <w:r>
        <w:t>千人学位数标准，</w:t>
      </w:r>
      <w:r>
        <w:rPr>
          <w:rFonts w:hint="eastAsia"/>
        </w:rPr>
        <w:t>配置</w:t>
      </w:r>
      <w:r>
        <w:t>足够的教育设施。</w:t>
      </w:r>
      <w:r>
        <w:rPr>
          <w:rFonts w:hint="eastAsia"/>
        </w:rPr>
        <w:t>若在单个单元</w:t>
      </w:r>
      <w:r>
        <w:t>内无法</w:t>
      </w:r>
      <w:r>
        <w:rPr>
          <w:rFonts w:hint="eastAsia"/>
        </w:rPr>
        <w:t>满足</w:t>
      </w:r>
      <w:r>
        <w:t>学位需求，</w:t>
      </w:r>
      <w:r>
        <w:rPr>
          <w:rFonts w:hint="eastAsia"/>
        </w:rPr>
        <w:t>可与</w:t>
      </w:r>
      <w:r>
        <w:t>临近的</w:t>
      </w:r>
      <w:r>
        <w:rPr>
          <w:rFonts w:hint="eastAsia"/>
        </w:rPr>
        <w:t>两个或三个</w:t>
      </w:r>
      <w:r>
        <w:t>控规</w:t>
      </w:r>
      <w:r>
        <w:rPr>
          <w:rFonts w:hint="eastAsia"/>
        </w:rPr>
        <w:t>单元共同组成学位平衡范围，</w:t>
      </w:r>
      <w:r>
        <w:t>但总体仍应</w:t>
      </w:r>
      <w:r>
        <w:rPr>
          <w:rFonts w:hint="eastAsia"/>
        </w:rPr>
        <w:t>尽量</w:t>
      </w:r>
      <w:r>
        <w:t>满足</w:t>
      </w:r>
      <w:r>
        <w:rPr>
          <w:rFonts w:hint="eastAsia"/>
        </w:rPr>
        <w:t>15分钟</w:t>
      </w:r>
      <w:r>
        <w:t>生活圈</w:t>
      </w:r>
      <w:r>
        <w:rPr>
          <w:rFonts w:hint="eastAsia"/>
        </w:rPr>
        <w:t>的</w:t>
      </w:r>
      <w:r>
        <w:t>设施</w:t>
      </w:r>
      <w:r>
        <w:rPr>
          <w:rFonts w:hint="eastAsia"/>
        </w:rPr>
        <w:t>服务</w:t>
      </w:r>
      <w:r>
        <w:t>要求。</w:t>
      </w:r>
    </w:p>
    <w:p>
      <w:pPr>
        <w:pStyle w:val="5"/>
        <w:numPr>
          <w:ilvl w:val="0"/>
          <w:numId w:val="13"/>
        </w:numPr>
        <w:adjustRightInd w:val="0"/>
        <w:snapToGrid w:val="0"/>
        <w:ind w:firstLine="640"/>
      </w:pPr>
      <w:r>
        <w:rPr>
          <w:rFonts w:hint="eastAsia"/>
        </w:rPr>
        <w:t>单元传导指引。</w:t>
      </w:r>
    </w:p>
    <w:p>
      <w:pPr>
        <w:adjustRightInd w:val="0"/>
        <w:snapToGrid w:val="0"/>
        <w:ind w:firstLine="640"/>
      </w:pPr>
      <w:r>
        <w:rPr>
          <w:rFonts w:hint="eastAsia"/>
        </w:rPr>
        <w:t>控制性详细规划、城市更新单元规划及村庄规划的编制过程中，设施规模应满足以下要求：</w:t>
      </w:r>
    </w:p>
    <w:p>
      <w:pPr>
        <w:adjustRightInd w:val="0"/>
        <w:snapToGrid w:val="0"/>
        <w:ind w:firstLine="640"/>
      </w:pPr>
      <w:r>
        <w:rPr>
          <w:rFonts w:hint="eastAsia"/>
        </w:rPr>
        <w:t>（1） 关于专规设施在控制性详细规划、城市更新单元规划及村庄规划中落实的要求。</w:t>
      </w:r>
    </w:p>
    <w:p>
      <w:pPr>
        <w:adjustRightInd w:val="0"/>
        <w:snapToGrid w:val="0"/>
        <w:ind w:firstLine="640"/>
      </w:pPr>
      <w:r>
        <w:t>控规编制过程中，</w:t>
      </w:r>
      <w:r>
        <w:rPr>
          <w:rFonts w:hint="eastAsia"/>
        </w:rPr>
        <w:t>应落实</w:t>
      </w:r>
      <w:r>
        <w:t>专规</w:t>
      </w:r>
      <w:r>
        <w:rPr>
          <w:rFonts w:hint="eastAsia"/>
        </w:rPr>
        <w:t>的</w:t>
      </w:r>
      <w:r>
        <w:t>设施布局</w:t>
      </w:r>
      <w:r>
        <w:rPr>
          <w:rFonts w:hint="eastAsia"/>
        </w:rPr>
        <w:t>方案</w:t>
      </w:r>
      <w:r>
        <w:t>。</w:t>
      </w:r>
      <w:r>
        <w:rPr>
          <w:rFonts w:hint="eastAsia"/>
        </w:rPr>
        <w:t>对于专规</w:t>
      </w:r>
      <w:r>
        <w:t>中</w:t>
      </w:r>
      <w:r>
        <w:rPr>
          <w:rFonts w:hint="eastAsia"/>
        </w:rPr>
        <w:t>采用实线控制的教育设施，应在控制性详细规划、城市更新单元规划及村庄规划中予以落实，不得随意调整其用地和规模；对于</w:t>
      </w:r>
      <w:r>
        <w:t>专规中</w:t>
      </w:r>
      <w:r>
        <w:rPr>
          <w:rFonts w:hint="eastAsia"/>
        </w:rPr>
        <w:t>采用点位控制的教育设施不得随意调整其用地规模和办学规模，具体的用地选址和用地边界应在控制性详细规划、城市更新单元规划及村庄规划中予以明确。</w:t>
      </w:r>
    </w:p>
    <w:p>
      <w:pPr>
        <w:adjustRightInd w:val="0"/>
        <w:snapToGrid w:val="0"/>
        <w:ind w:firstLine="640"/>
      </w:pPr>
      <w:r>
        <w:rPr>
          <w:rFonts w:hint="eastAsia"/>
        </w:rPr>
        <w:t>（</w:t>
      </w:r>
      <w:r>
        <w:t>2</w:t>
      </w:r>
      <w:r>
        <w:rPr>
          <w:rFonts w:hint="eastAsia"/>
        </w:rPr>
        <w:t>） 关于控规设施与平衡单元内人口规模匹配的校核要求。</w:t>
      </w:r>
    </w:p>
    <w:p>
      <w:pPr>
        <w:adjustRightInd w:val="0"/>
        <w:snapToGrid w:val="0"/>
        <w:ind w:firstLine="640"/>
      </w:pPr>
      <w:r>
        <w:rPr>
          <w:rFonts w:hint="eastAsia"/>
        </w:rPr>
        <w:t>控制性详细规划、城市更新单元规划及村庄规划编制过程中，需校核专规设施与控规人口量的匹配情况。若按专规设施落实后，仍不能满足控规人口规模的，需按教育设施相关标准增加教育设施。</w:t>
      </w:r>
      <w:bookmarkStart w:id="45" w:name="_Toc85826594"/>
    </w:p>
    <w:p>
      <w:pPr>
        <w:pStyle w:val="3"/>
        <w:numPr>
          <w:ilvl w:val="0"/>
          <w:numId w:val="0"/>
        </w:numPr>
        <w:adjustRightInd w:val="0"/>
        <w:snapToGrid w:val="0"/>
        <w:ind w:firstLine="640" w:firstLineChars="200"/>
        <w:rPr>
          <w:b w:val="0"/>
          <w:bCs/>
        </w:rPr>
      </w:pPr>
      <w:r>
        <w:rPr>
          <w:rFonts w:hint="eastAsia"/>
          <w:b w:val="0"/>
          <w:bCs/>
        </w:rPr>
        <w:t>十、特殊教育设施规划要求</w:t>
      </w:r>
      <w:bookmarkEnd w:id="45"/>
    </w:p>
    <w:p>
      <w:pPr>
        <w:adjustRightInd w:val="0"/>
        <w:snapToGrid w:val="0"/>
        <w:ind w:firstLine="640"/>
      </w:pPr>
      <w:r>
        <w:rPr>
          <w:rFonts w:hint="eastAsia"/>
        </w:rPr>
        <w:t>根据教育厅等七部门印发的《广东省第二期特殊教育提升计划（2</w:t>
      </w:r>
      <w:r>
        <w:t>017-2020</w:t>
      </w:r>
      <w:r>
        <w:rPr>
          <w:rFonts w:hint="eastAsia"/>
        </w:rPr>
        <w:t>年）》要求，各区应建有1所以上符合国家标准的义务教育阶段综合型特殊教育学校。已建有特殊教育学校的要对照住房城乡建设部、国家发展改革委批准发布的《特殊教育学校建设标准（建标1</w:t>
      </w:r>
      <w:r>
        <w:t>56-2011</w:t>
      </w:r>
      <w:r>
        <w:rPr>
          <w:rFonts w:hint="eastAsia"/>
        </w:rPr>
        <w:t>）》，对未达标的特殊教育学校进行改建、扩建。</w:t>
      </w:r>
    </w:p>
    <w:p>
      <w:pPr>
        <w:adjustRightInd w:val="0"/>
        <w:snapToGrid w:val="0"/>
        <w:ind w:firstLine="640"/>
        <w:sectPr>
          <w:pgSz w:w="11906" w:h="16838"/>
          <w:pgMar w:top="1440" w:right="1800" w:bottom="1440" w:left="1800" w:header="851" w:footer="992" w:gutter="0"/>
          <w:cols w:space="425" w:num="1"/>
          <w:docGrid w:type="lines" w:linePitch="312" w:charSpace="0"/>
        </w:sectPr>
      </w:pPr>
      <w:r>
        <w:rPr>
          <w:rFonts w:hint="eastAsia"/>
        </w:rPr>
        <w:t>依据省教育厅等七部门联合印发的《关于加强专门学校建设和专门教育工作的实施办法（试行）》文件精神，多措并举推进专门学校建设和专门教育规划健康发展，力求到2023年每个地市至少有一所专门学校，满足有严重不良行为未成年人教育矫治需要。</w:t>
      </w:r>
    </w:p>
    <w:p>
      <w:pPr>
        <w:pStyle w:val="3"/>
        <w:numPr>
          <w:ilvl w:val="0"/>
          <w:numId w:val="0"/>
        </w:numPr>
        <w:adjustRightInd w:val="0"/>
        <w:snapToGrid w:val="0"/>
        <w:ind w:firstLine="640" w:firstLineChars="200"/>
        <w:rPr>
          <w:b w:val="0"/>
          <w:bCs/>
        </w:rPr>
      </w:pPr>
      <w:bookmarkStart w:id="46" w:name="_Toc85826595"/>
      <w:bookmarkStart w:id="47" w:name="_Toc85093738"/>
      <w:r>
        <w:rPr>
          <w:rFonts w:hint="eastAsia"/>
          <w:b w:val="0"/>
          <w:bCs/>
        </w:rPr>
        <w:t>十一、高中阶段教育设施规划布点</w:t>
      </w:r>
      <w:bookmarkEnd w:id="46"/>
      <w:bookmarkEnd w:id="47"/>
      <w:r>
        <w:rPr>
          <w:rFonts w:hint="eastAsia"/>
          <w:b w:val="0"/>
          <w:bCs/>
        </w:rPr>
        <w:t>指引</w:t>
      </w:r>
    </w:p>
    <w:p>
      <w:pPr>
        <w:pStyle w:val="4"/>
        <w:numPr>
          <w:ilvl w:val="0"/>
          <w:numId w:val="0"/>
        </w:numPr>
        <w:adjustRightInd w:val="0"/>
        <w:snapToGrid w:val="0"/>
        <w:ind w:firstLine="640" w:firstLineChars="200"/>
        <w:rPr>
          <w:b w:val="0"/>
          <w:bCs w:val="0"/>
        </w:rPr>
      </w:pPr>
      <w:bookmarkStart w:id="48" w:name="_Toc85826597"/>
      <w:r>
        <w:rPr>
          <w:rFonts w:hint="eastAsia"/>
          <w:b w:val="0"/>
          <w:bCs w:val="0"/>
        </w:rPr>
        <w:t>（一）规划思路。</w:t>
      </w:r>
    </w:p>
    <w:p>
      <w:pPr>
        <w:pStyle w:val="5"/>
        <w:numPr>
          <w:ilvl w:val="0"/>
          <w:numId w:val="14"/>
        </w:numPr>
        <w:adjustRightInd w:val="0"/>
        <w:snapToGrid w:val="0"/>
        <w:ind w:firstLine="640"/>
      </w:pPr>
      <w:r>
        <w:rPr>
          <w:rFonts w:hint="eastAsia"/>
        </w:rPr>
        <w:t>摸清家底，夯实基础。</w:t>
      </w:r>
    </w:p>
    <w:p>
      <w:pPr>
        <w:pStyle w:val="5"/>
        <w:numPr>
          <w:ilvl w:val="0"/>
          <w:numId w:val="14"/>
        </w:numPr>
        <w:adjustRightInd w:val="0"/>
        <w:snapToGrid w:val="0"/>
        <w:ind w:firstLine="640"/>
      </w:pPr>
      <w:r>
        <w:rPr>
          <w:rFonts w:hint="eastAsia"/>
        </w:rPr>
        <w:t>核定学位，明确缺口。</w:t>
      </w:r>
    </w:p>
    <w:p>
      <w:pPr>
        <w:pStyle w:val="5"/>
        <w:numPr>
          <w:ilvl w:val="0"/>
          <w:numId w:val="14"/>
        </w:numPr>
        <w:adjustRightInd w:val="0"/>
        <w:snapToGrid w:val="0"/>
        <w:ind w:firstLine="640"/>
      </w:pPr>
      <w:r>
        <w:rPr>
          <w:rFonts w:hint="eastAsia"/>
        </w:rPr>
        <w:t>落实项目，衔接规划。</w:t>
      </w:r>
    </w:p>
    <w:p>
      <w:pPr>
        <w:pStyle w:val="5"/>
        <w:numPr>
          <w:ilvl w:val="0"/>
          <w:numId w:val="14"/>
        </w:numPr>
        <w:adjustRightInd w:val="0"/>
        <w:snapToGrid w:val="0"/>
        <w:ind w:firstLine="640"/>
      </w:pPr>
      <w:r>
        <w:rPr>
          <w:rFonts w:hint="eastAsia"/>
        </w:rPr>
        <w:t>市区协同，分层落实。</w:t>
      </w:r>
    </w:p>
    <w:p>
      <w:pPr>
        <w:pStyle w:val="4"/>
        <w:numPr>
          <w:ilvl w:val="0"/>
          <w:numId w:val="0"/>
        </w:numPr>
        <w:adjustRightInd w:val="0"/>
        <w:snapToGrid w:val="0"/>
        <w:ind w:firstLine="640" w:firstLineChars="200"/>
        <w:rPr>
          <w:b w:val="0"/>
          <w:bCs w:val="0"/>
        </w:rPr>
      </w:pPr>
      <w:r>
        <w:rPr>
          <w:rFonts w:hint="eastAsia"/>
          <w:b w:val="0"/>
          <w:bCs w:val="0"/>
        </w:rPr>
        <w:t>（二）区级专项规划落实要求</w:t>
      </w:r>
      <w:bookmarkEnd w:id="48"/>
      <w:r>
        <w:rPr>
          <w:rFonts w:hint="eastAsia"/>
          <w:b w:val="0"/>
          <w:bCs w:val="0"/>
        </w:rPr>
        <w:t>。</w:t>
      </w:r>
    </w:p>
    <w:p>
      <w:pPr>
        <w:adjustRightInd w:val="0"/>
        <w:snapToGrid w:val="0"/>
        <w:ind w:firstLine="640"/>
      </w:pPr>
      <w:r>
        <w:rPr>
          <w:rFonts w:hint="eastAsia"/>
        </w:rPr>
        <w:t>各区教育专项规划需严格落实市级专项规划提出的学位总数，深化市级教育专项规划提出的高中阶段教育设施的布局方案，落实高中阶段教育设施的用地范围线。</w:t>
      </w:r>
      <w:bookmarkStart w:id="49" w:name="_Toc85826598"/>
    </w:p>
    <w:p>
      <w:pPr>
        <w:pStyle w:val="4"/>
        <w:numPr>
          <w:ilvl w:val="0"/>
          <w:numId w:val="0"/>
        </w:numPr>
        <w:adjustRightInd w:val="0"/>
        <w:snapToGrid w:val="0"/>
        <w:ind w:firstLine="640" w:firstLineChars="200"/>
        <w:rPr>
          <w:b w:val="0"/>
          <w:bCs w:val="0"/>
        </w:rPr>
      </w:pPr>
      <w:r>
        <w:rPr>
          <w:rFonts w:hint="eastAsia"/>
          <w:b w:val="0"/>
          <w:bCs w:val="0"/>
        </w:rPr>
        <w:t>（三）十四五期间规划要求</w:t>
      </w:r>
      <w:bookmarkEnd w:id="49"/>
      <w:r>
        <w:rPr>
          <w:rFonts w:hint="eastAsia"/>
          <w:b w:val="0"/>
          <w:bCs w:val="0"/>
        </w:rPr>
        <w:t>。</w:t>
      </w:r>
    </w:p>
    <w:p>
      <w:pPr>
        <w:adjustRightInd w:val="0"/>
        <w:snapToGrid w:val="0"/>
        <w:ind w:firstLine="640"/>
      </w:pPr>
      <w:r>
        <w:rPr>
          <w:rFonts w:hint="eastAsia"/>
        </w:rPr>
        <w:t>至2025年，全市十四五期间高中阶段学位需达到343350座。其中禅城区46950座，南海区129100座，顺德区117400座，高明区19100座，三水区30800座</w:t>
      </w:r>
      <w:r>
        <w:t>。</w:t>
      </w:r>
    </w:p>
    <w:p>
      <w:pPr>
        <w:pStyle w:val="4"/>
        <w:numPr>
          <w:ilvl w:val="0"/>
          <w:numId w:val="0"/>
        </w:numPr>
        <w:adjustRightInd w:val="0"/>
        <w:snapToGrid w:val="0"/>
        <w:ind w:firstLine="640" w:firstLineChars="200"/>
        <w:rPr>
          <w:b w:val="0"/>
          <w:bCs w:val="0"/>
        </w:rPr>
      </w:pPr>
      <w:bookmarkStart w:id="50" w:name="_Toc82770005"/>
      <w:bookmarkStart w:id="51" w:name="_Toc85826599"/>
      <w:r>
        <w:rPr>
          <w:rFonts w:hint="eastAsia"/>
          <w:b w:val="0"/>
          <w:bCs w:val="0"/>
        </w:rPr>
        <w:t>（四）远期</w:t>
      </w:r>
      <w:bookmarkEnd w:id="50"/>
      <w:r>
        <w:rPr>
          <w:rFonts w:hint="eastAsia"/>
          <w:b w:val="0"/>
          <w:bCs w:val="0"/>
        </w:rPr>
        <w:t>规划要求</w:t>
      </w:r>
      <w:bookmarkEnd w:id="51"/>
      <w:r>
        <w:rPr>
          <w:rFonts w:hint="eastAsia"/>
          <w:b w:val="0"/>
          <w:bCs w:val="0"/>
        </w:rPr>
        <w:t>。</w:t>
      </w:r>
    </w:p>
    <w:p>
      <w:pPr>
        <w:adjustRightInd w:val="0"/>
        <w:snapToGrid w:val="0"/>
        <w:ind w:firstLine="640"/>
      </w:pPr>
      <w:r>
        <w:rPr>
          <w:rFonts w:hint="eastAsia"/>
        </w:rPr>
        <w:t>至2035年，全市远期高中阶段学位需达到468000座。其中禅城区64000座，南海区176000座，顺德区160000座，高明区26000座，三水区42000座。</w:t>
      </w:r>
    </w:p>
    <w:p>
      <w:pPr>
        <w:pStyle w:val="4"/>
        <w:numPr>
          <w:ilvl w:val="0"/>
          <w:numId w:val="0"/>
        </w:numPr>
        <w:adjustRightInd w:val="0"/>
        <w:snapToGrid w:val="0"/>
        <w:ind w:firstLine="640" w:firstLineChars="200"/>
        <w:rPr>
          <w:b w:val="0"/>
          <w:bCs w:val="0"/>
        </w:rPr>
      </w:pPr>
      <w:r>
        <w:rPr>
          <w:rFonts w:hint="eastAsia"/>
          <w:b w:val="0"/>
          <w:bCs w:val="0"/>
        </w:rPr>
        <w:t>（五）规划布点指引。</w:t>
      </w:r>
    </w:p>
    <w:p>
      <w:pPr>
        <w:adjustRightInd w:val="0"/>
        <w:snapToGrid w:val="0"/>
        <w:ind w:firstLine="640"/>
      </w:pPr>
      <w:r>
        <w:rPr>
          <w:rFonts w:hint="eastAsia"/>
        </w:rPr>
        <w:t>至2035年，全市常住人口规模为1170万，高中阶段学位需求468000座。全市规划高中阶段教育设施181所（现状保留92所，规划扩建7所，规划新增82所），可提供学位496550座（合99</w:t>
      </w:r>
      <w:r>
        <w:t>10</w:t>
      </w:r>
      <w:r>
        <w:rPr>
          <w:rFonts w:hint="eastAsia"/>
        </w:rPr>
        <w:t>个班），满足总体学位发展需求。五区情况如下：</w:t>
      </w:r>
    </w:p>
    <w:p>
      <w:pPr>
        <w:adjustRightInd w:val="0"/>
        <w:snapToGrid w:val="0"/>
        <w:ind w:firstLine="640"/>
      </w:pPr>
      <w:r>
        <w:rPr>
          <w:rFonts w:hint="eastAsia"/>
        </w:rPr>
        <w:t>禅城区规划常住人口规模为160万，高中阶段学位需求64000座。规划高中阶段教育设施27所，可提供学数71150座（合1374个班）。</w:t>
      </w:r>
    </w:p>
    <w:p>
      <w:pPr>
        <w:adjustRightInd w:val="0"/>
        <w:snapToGrid w:val="0"/>
        <w:ind w:firstLine="640"/>
      </w:pPr>
      <w:r>
        <w:rPr>
          <w:rFonts w:hint="eastAsia"/>
        </w:rPr>
        <w:t>南海区规划常住人口规模为440万，高中阶段学位需求176000座。规划高中阶段教育设施71所，可提供学位187200座（合3744个班）。</w:t>
      </w:r>
    </w:p>
    <w:p>
      <w:pPr>
        <w:adjustRightInd w:val="0"/>
        <w:snapToGrid w:val="0"/>
        <w:ind w:firstLine="640"/>
      </w:pPr>
      <w:r>
        <w:rPr>
          <w:rFonts w:hint="eastAsia"/>
        </w:rPr>
        <w:t>顺德区规划常住人口规模为400万，高中阶段学位需求160000座。规划高中阶段教育设施60所，可提供学位16</w:t>
      </w:r>
      <w:r>
        <w:t>560</w:t>
      </w:r>
      <w:r>
        <w:rPr>
          <w:rFonts w:hint="eastAsia"/>
        </w:rPr>
        <w:t>0座（合33</w:t>
      </w:r>
      <w:r>
        <w:t>12</w:t>
      </w:r>
      <w:r>
        <w:rPr>
          <w:rFonts w:hint="eastAsia"/>
        </w:rPr>
        <w:t>个班）。</w:t>
      </w:r>
    </w:p>
    <w:p>
      <w:pPr>
        <w:adjustRightInd w:val="0"/>
        <w:snapToGrid w:val="0"/>
        <w:ind w:firstLine="640"/>
      </w:pPr>
      <w:r>
        <w:rPr>
          <w:rFonts w:hint="eastAsia"/>
        </w:rPr>
        <w:t>高明区规划常住人口规模为65万，高中阶段学位需求26000座。规划高中阶段教育设施10所，可提供学位29400座（合588个班）。</w:t>
      </w:r>
    </w:p>
    <w:p>
      <w:pPr>
        <w:adjustRightInd w:val="0"/>
        <w:snapToGrid w:val="0"/>
        <w:ind w:firstLine="640"/>
      </w:pPr>
      <w:r>
        <w:rPr>
          <w:rFonts w:hint="eastAsia"/>
        </w:rPr>
        <w:t>三水区规划常住人口规模为105万，高中阶段学位需求42000座。规划高中阶段教育设施18所，可提供学位42150座（合843个班）</w:t>
      </w:r>
      <w:r>
        <w:t>。</w:t>
      </w:r>
      <w:bookmarkStart w:id="52" w:name="_Toc85826601"/>
    </w:p>
    <w:p>
      <w:pPr>
        <w:adjustRightInd w:val="0"/>
        <w:snapToGrid w:val="0"/>
        <w:ind w:firstLine="640"/>
        <w:rPr>
          <w:rFonts w:ascii="楷体" w:hAnsi="楷体" w:eastAsia="楷体" w:cs="楷体"/>
          <w:szCs w:val="32"/>
        </w:rPr>
      </w:pPr>
      <w:r>
        <w:rPr>
          <w:rFonts w:hint="eastAsia" w:ascii="楷体" w:hAnsi="楷体" w:eastAsia="楷体" w:cs="楷体"/>
          <w:szCs w:val="32"/>
        </w:rPr>
        <w:t>（六）设施传导基本指引</w:t>
      </w:r>
      <w:bookmarkEnd w:id="52"/>
      <w:r>
        <w:rPr>
          <w:rFonts w:hint="eastAsia" w:ascii="楷体" w:hAnsi="楷体" w:eastAsia="楷体" w:cs="楷体"/>
          <w:szCs w:val="32"/>
        </w:rPr>
        <w:t>。</w:t>
      </w:r>
    </w:p>
    <w:p>
      <w:pPr>
        <w:pStyle w:val="5"/>
        <w:numPr>
          <w:ilvl w:val="0"/>
          <w:numId w:val="15"/>
        </w:numPr>
        <w:adjustRightInd w:val="0"/>
        <w:snapToGrid w:val="0"/>
        <w:ind w:firstLine="640"/>
      </w:pPr>
      <w:r>
        <w:rPr>
          <w:rFonts w:hint="eastAsia"/>
        </w:rPr>
        <w:t>区级专规设施平衡范围的要求。</w:t>
      </w:r>
    </w:p>
    <w:p>
      <w:pPr>
        <w:adjustRightInd w:val="0"/>
        <w:snapToGrid w:val="0"/>
        <w:ind w:firstLine="640"/>
      </w:pPr>
      <w:r>
        <w:rPr>
          <w:rFonts w:hint="eastAsia"/>
        </w:rPr>
        <w:t>高中阶段教育设施原则上以镇街的行政辖区范围为学位统筹范围，若在镇街</w:t>
      </w:r>
      <w:r>
        <w:t>内无法</w:t>
      </w:r>
      <w:r>
        <w:rPr>
          <w:rFonts w:hint="eastAsia"/>
        </w:rPr>
        <w:t>满足</w:t>
      </w:r>
      <w:r>
        <w:t>学位需求</w:t>
      </w:r>
      <w:r>
        <w:rPr>
          <w:rFonts w:hint="eastAsia"/>
        </w:rPr>
        <w:t>，可以区的行政辖区为行政范围为平衡范围。</w:t>
      </w:r>
    </w:p>
    <w:p>
      <w:pPr>
        <w:pStyle w:val="5"/>
        <w:numPr>
          <w:ilvl w:val="0"/>
          <w:numId w:val="15"/>
        </w:numPr>
        <w:adjustRightInd w:val="0"/>
        <w:snapToGrid w:val="0"/>
        <w:ind w:firstLine="640"/>
      </w:pPr>
      <w:r>
        <w:rPr>
          <w:rFonts w:hint="eastAsia"/>
        </w:rPr>
        <w:t>设施传导指引。</w:t>
      </w:r>
    </w:p>
    <w:p>
      <w:pPr>
        <w:adjustRightInd w:val="0"/>
        <w:snapToGrid w:val="0"/>
        <w:ind w:firstLine="640"/>
      </w:pPr>
      <w:bookmarkStart w:id="53" w:name="_Toc85093739"/>
      <w:bookmarkStart w:id="54" w:name="_Toc85826602"/>
      <w:r>
        <w:rPr>
          <w:rFonts w:hint="eastAsia"/>
        </w:rPr>
        <w:t>（1） 关于详细规划落实专规设施的要求。</w:t>
      </w:r>
    </w:p>
    <w:p>
      <w:pPr>
        <w:adjustRightInd w:val="0"/>
        <w:snapToGrid w:val="0"/>
        <w:ind w:firstLine="640"/>
      </w:pPr>
      <w:r>
        <w:rPr>
          <w:rFonts w:hint="eastAsia"/>
        </w:rPr>
        <w:t>控制性详细规划、城市更新单元规划、村庄规划编制过程中，应落实专规的高中布局方案。各区应加强高中阶段设施的统筹力度，尽量明确实施主体，保障设施落地。</w:t>
      </w:r>
    </w:p>
    <w:p>
      <w:pPr>
        <w:adjustRightInd w:val="0"/>
        <w:snapToGrid w:val="0"/>
        <w:ind w:firstLine="640"/>
      </w:pPr>
      <w:r>
        <w:rPr>
          <w:rFonts w:hint="eastAsia"/>
        </w:rPr>
        <w:t>（</w:t>
      </w:r>
      <w:r>
        <w:t>2</w:t>
      </w:r>
      <w:r>
        <w:rPr>
          <w:rFonts w:hint="eastAsia"/>
        </w:rPr>
        <w:t>） 关于动态评估高中阶段设施供给情况的要求。</w:t>
      </w:r>
    </w:p>
    <w:p>
      <w:pPr>
        <w:adjustRightInd w:val="0"/>
        <w:snapToGrid w:val="0"/>
        <w:ind w:firstLine="640"/>
      </w:pPr>
      <w:r>
        <w:rPr>
          <w:rFonts w:hint="eastAsia"/>
        </w:rPr>
        <w:t>各区应每五年动态评估辖区内高中阶段教育设施的供应情况，根据人口增长的趋势，核算辖区内应配置的高中阶段教育设施规模，适时增补设施。</w:t>
      </w:r>
    </w:p>
    <w:p>
      <w:pPr>
        <w:pStyle w:val="8"/>
        <w:adjustRightInd w:val="0"/>
        <w:sectPr>
          <w:pgSz w:w="11906" w:h="16838"/>
          <w:pgMar w:top="1440" w:right="1800" w:bottom="1440" w:left="1800" w:header="851" w:footer="992" w:gutter="0"/>
          <w:cols w:space="425" w:num="1"/>
          <w:docGrid w:type="lines" w:linePitch="312" w:charSpace="0"/>
        </w:sectPr>
      </w:pPr>
    </w:p>
    <w:p>
      <w:pPr>
        <w:pStyle w:val="3"/>
        <w:numPr>
          <w:ilvl w:val="0"/>
          <w:numId w:val="0"/>
        </w:numPr>
        <w:adjustRightInd w:val="0"/>
        <w:snapToGrid w:val="0"/>
        <w:ind w:firstLine="640" w:firstLineChars="200"/>
        <w:rPr>
          <w:b w:val="0"/>
          <w:bCs/>
        </w:rPr>
      </w:pPr>
      <w:r>
        <w:rPr>
          <w:rFonts w:hint="eastAsia"/>
          <w:b w:val="0"/>
          <w:bCs/>
        </w:rPr>
        <w:t>十二、高等教育设施规划方案</w:t>
      </w:r>
      <w:bookmarkEnd w:id="53"/>
      <w:bookmarkEnd w:id="54"/>
    </w:p>
    <w:p>
      <w:pPr>
        <w:pStyle w:val="4"/>
        <w:numPr>
          <w:ilvl w:val="0"/>
          <w:numId w:val="0"/>
        </w:numPr>
        <w:adjustRightInd w:val="0"/>
        <w:snapToGrid w:val="0"/>
        <w:ind w:left="218" w:leftChars="68" w:firstLine="320" w:firstLineChars="100"/>
        <w:rPr>
          <w:b w:val="0"/>
          <w:bCs w:val="0"/>
        </w:rPr>
      </w:pPr>
      <w:bookmarkStart w:id="55" w:name="_Toc85826603"/>
      <w:r>
        <w:rPr>
          <w:rFonts w:hint="eastAsia"/>
          <w:b w:val="0"/>
          <w:bCs w:val="0"/>
        </w:rPr>
        <w:t>（一）布局</w:t>
      </w:r>
      <w:bookmarkEnd w:id="55"/>
      <w:r>
        <w:rPr>
          <w:rFonts w:hint="eastAsia"/>
          <w:b w:val="0"/>
          <w:bCs w:val="0"/>
        </w:rPr>
        <w:t>重点。</w:t>
      </w:r>
    </w:p>
    <w:p>
      <w:pPr>
        <w:pStyle w:val="5"/>
        <w:numPr>
          <w:ilvl w:val="0"/>
          <w:numId w:val="16"/>
        </w:numPr>
        <w:adjustRightInd w:val="0"/>
        <w:snapToGrid w:val="0"/>
        <w:ind w:firstLine="640"/>
      </w:pPr>
      <w:r>
        <w:rPr>
          <w:rFonts w:hint="eastAsia"/>
        </w:rPr>
        <w:t>统筹布局，突出集中发展。</w:t>
      </w:r>
    </w:p>
    <w:p>
      <w:pPr>
        <w:pStyle w:val="5"/>
        <w:numPr>
          <w:ilvl w:val="0"/>
          <w:numId w:val="16"/>
        </w:numPr>
        <w:adjustRightInd w:val="0"/>
        <w:snapToGrid w:val="0"/>
        <w:ind w:firstLine="640"/>
      </w:pPr>
      <w:r>
        <w:rPr>
          <w:rFonts w:hint="eastAsia"/>
        </w:rPr>
        <w:t>加强交通联系、衔接重大创新平台。</w:t>
      </w:r>
    </w:p>
    <w:p>
      <w:pPr>
        <w:pStyle w:val="5"/>
        <w:numPr>
          <w:ilvl w:val="0"/>
          <w:numId w:val="16"/>
        </w:numPr>
        <w:adjustRightInd w:val="0"/>
        <w:snapToGrid w:val="0"/>
        <w:ind w:firstLine="640"/>
      </w:pPr>
      <w:r>
        <w:rPr>
          <w:rFonts w:hint="eastAsia"/>
        </w:rPr>
        <w:t>合理确定用地规模，预留发展空间。</w:t>
      </w:r>
    </w:p>
    <w:p>
      <w:pPr>
        <w:pStyle w:val="4"/>
        <w:numPr>
          <w:ilvl w:val="0"/>
          <w:numId w:val="0"/>
        </w:numPr>
        <w:adjustRightInd w:val="0"/>
        <w:snapToGrid w:val="0"/>
        <w:ind w:left="218" w:leftChars="68" w:firstLine="320" w:firstLineChars="100"/>
        <w:rPr>
          <w:b w:val="0"/>
          <w:bCs w:val="0"/>
        </w:rPr>
      </w:pPr>
      <w:bookmarkStart w:id="56" w:name="_Toc85826604"/>
      <w:r>
        <w:rPr>
          <w:rFonts w:hint="eastAsia"/>
          <w:b w:val="0"/>
          <w:bCs w:val="0"/>
        </w:rPr>
        <w:t>（二）十四五期间规划方案</w:t>
      </w:r>
      <w:bookmarkEnd w:id="56"/>
      <w:r>
        <w:rPr>
          <w:rFonts w:hint="eastAsia"/>
          <w:b w:val="0"/>
          <w:bCs w:val="0"/>
        </w:rPr>
        <w:t>。</w:t>
      </w:r>
    </w:p>
    <w:p>
      <w:pPr>
        <w:adjustRightInd w:val="0"/>
        <w:snapToGrid w:val="0"/>
        <w:ind w:firstLine="640"/>
      </w:pPr>
      <w:r>
        <w:rPr>
          <w:rFonts w:hint="eastAsia"/>
        </w:rPr>
        <w:t>至2</w:t>
      </w:r>
      <w:r>
        <w:t>025</w:t>
      </w:r>
      <w:r>
        <w:rPr>
          <w:rFonts w:hint="eastAsia"/>
        </w:rPr>
        <w:t>年，规划</w:t>
      </w:r>
      <w:r>
        <w:t>高等教育设施用地10.94</w:t>
      </w:r>
      <w:r>
        <w:rPr>
          <w:rFonts w:hint="eastAsia"/>
        </w:rPr>
        <w:t>平方</w:t>
      </w:r>
      <w:r>
        <w:t>公里</w:t>
      </w:r>
      <w:r>
        <w:rPr>
          <w:rFonts w:hint="eastAsia"/>
        </w:rPr>
        <w:t>，</w:t>
      </w:r>
      <w:r>
        <w:t>可承载大学生</w:t>
      </w:r>
      <w:r>
        <w:rPr>
          <w:rFonts w:hint="eastAsia"/>
        </w:rPr>
        <w:t>人数</w:t>
      </w:r>
      <w:r>
        <w:t>达18.00</w:t>
      </w:r>
      <w:r>
        <w:rPr>
          <w:rFonts w:hint="eastAsia"/>
        </w:rPr>
        <w:t>万人。现状保留高校</w:t>
      </w:r>
      <w:r>
        <w:t>8</w:t>
      </w:r>
      <w:r>
        <w:rPr>
          <w:rFonts w:hint="eastAsia"/>
        </w:rPr>
        <w:t>所，规划扩建</w:t>
      </w:r>
      <w:r>
        <w:t>5</w:t>
      </w:r>
      <w:r>
        <w:rPr>
          <w:rFonts w:hint="eastAsia"/>
        </w:rPr>
        <w:t>所，规划新增</w:t>
      </w:r>
      <w:r>
        <w:t>5</w:t>
      </w:r>
      <w:r>
        <w:rPr>
          <w:rFonts w:hint="eastAsia"/>
        </w:rPr>
        <w:t>处预留高等教育设施用地。</w:t>
      </w:r>
    </w:p>
    <w:p>
      <w:pPr>
        <w:adjustRightInd w:val="0"/>
        <w:snapToGrid w:val="0"/>
        <w:ind w:firstLine="640"/>
      </w:pPr>
      <w:r>
        <w:rPr>
          <w:rFonts w:hint="eastAsia"/>
        </w:rPr>
        <w:t>（1） 现状保留高校8所，其中本科院校5所，分别是佛山科学技术学院、广东东软学院、华南师范大学南海校区、南方医科大学顺德校区、广州工商学院三水校区；高职（专科）院校3所，分别是顺德职业技术学院、广东职业技术学院、广东理工职业学院南海校区。</w:t>
      </w:r>
    </w:p>
    <w:p>
      <w:pPr>
        <w:adjustRightInd w:val="0"/>
        <w:snapToGrid w:val="0"/>
        <w:ind w:firstLine="640"/>
      </w:pPr>
      <w:r>
        <w:rPr>
          <w:rFonts w:hint="eastAsia"/>
        </w:rPr>
        <w:t>（</w:t>
      </w:r>
      <w:r>
        <w:t>2</w:t>
      </w:r>
      <w:r>
        <w:rPr>
          <w:rFonts w:hint="eastAsia"/>
        </w:rPr>
        <w:t>） 规划扩建高校5所，其中本科院校1所，高职（专科）院校4所，分别是广东财经大学佛山校区、佛山职业技术学院、广东轻工职业技术学院、广东环境保护工程职业学院、广东舞蹈戏剧职业学院。</w:t>
      </w:r>
    </w:p>
    <w:p>
      <w:pPr>
        <w:adjustRightInd w:val="0"/>
        <w:snapToGrid w:val="0"/>
        <w:ind w:firstLine="640"/>
        <w:sectPr>
          <w:pgSz w:w="11906" w:h="16838"/>
          <w:pgMar w:top="1440" w:right="1800" w:bottom="1440" w:left="1800" w:header="851" w:footer="992" w:gutter="0"/>
          <w:cols w:space="425" w:num="1"/>
          <w:docGrid w:type="lines" w:linePitch="312" w:charSpace="0"/>
        </w:sectPr>
      </w:pPr>
      <w:r>
        <w:rPr>
          <w:rFonts w:hint="eastAsia"/>
        </w:rPr>
        <w:t>（</w:t>
      </w:r>
      <w:r>
        <w:t>3</w:t>
      </w:r>
      <w:r>
        <w:rPr>
          <w:rFonts w:hint="eastAsia"/>
        </w:rPr>
        <w:t>） 规划新增5处预留高等教育设施用地。分别为南庄镇预留高等教育设施用地、狮山镇预留高等教育设施用地1、大良街道预留高等教育设施用地、高明片区预留高等教育设施用地、云东海街道预留高等教育设施用地。</w:t>
      </w:r>
    </w:p>
    <w:p>
      <w:pPr>
        <w:pStyle w:val="4"/>
        <w:numPr>
          <w:ilvl w:val="0"/>
          <w:numId w:val="0"/>
        </w:numPr>
        <w:adjustRightInd w:val="0"/>
        <w:snapToGrid w:val="0"/>
        <w:ind w:left="218" w:leftChars="68" w:firstLine="320" w:firstLineChars="100"/>
        <w:rPr>
          <w:b w:val="0"/>
          <w:bCs w:val="0"/>
        </w:rPr>
      </w:pPr>
      <w:bookmarkStart w:id="57" w:name="_Toc85826605"/>
      <w:r>
        <w:rPr>
          <w:rFonts w:hint="eastAsia"/>
          <w:b w:val="0"/>
          <w:bCs w:val="0"/>
        </w:rPr>
        <w:t>（三）远期规划方案</w:t>
      </w:r>
      <w:bookmarkEnd w:id="57"/>
      <w:r>
        <w:rPr>
          <w:rFonts w:hint="eastAsia"/>
          <w:b w:val="0"/>
          <w:bCs w:val="0"/>
        </w:rPr>
        <w:t>。</w:t>
      </w:r>
    </w:p>
    <w:p>
      <w:pPr>
        <w:adjustRightInd w:val="0"/>
        <w:snapToGrid w:val="0"/>
        <w:ind w:firstLine="640"/>
      </w:pPr>
      <w:r>
        <w:rPr>
          <w:rFonts w:hint="eastAsia"/>
        </w:rPr>
        <w:t>至2</w:t>
      </w:r>
      <w:r>
        <w:t>035</w:t>
      </w:r>
      <w:r>
        <w:rPr>
          <w:rFonts w:hint="eastAsia"/>
        </w:rPr>
        <w:t>年</w:t>
      </w:r>
      <w:r>
        <w:t>，</w:t>
      </w:r>
      <w:r>
        <w:rPr>
          <w:rFonts w:hint="eastAsia"/>
        </w:rPr>
        <w:t>规划</w:t>
      </w:r>
      <w:r>
        <w:t>高等教育设施用地</w:t>
      </w:r>
      <w:r>
        <w:rPr>
          <w:rFonts w:hint="eastAsia"/>
        </w:rPr>
        <w:t>约</w:t>
      </w:r>
      <w:r>
        <w:t>12.92</w:t>
      </w:r>
      <w:r>
        <w:rPr>
          <w:rFonts w:hint="eastAsia"/>
        </w:rPr>
        <w:t>平方</w:t>
      </w:r>
      <w:r>
        <w:t>公里</w:t>
      </w:r>
      <w:r>
        <w:rPr>
          <w:rFonts w:hint="eastAsia"/>
        </w:rPr>
        <w:t>，</w:t>
      </w:r>
      <w:r>
        <w:t>可承载大学生</w:t>
      </w:r>
      <w:r>
        <w:rPr>
          <w:rFonts w:hint="eastAsia"/>
        </w:rPr>
        <w:t>人数</w:t>
      </w:r>
      <w:r>
        <w:t>达</w:t>
      </w:r>
      <w:r>
        <w:rPr>
          <w:rFonts w:hint="eastAsia"/>
        </w:rPr>
        <w:t>23.40万人。</w:t>
      </w:r>
      <w:bookmarkStart w:id="58" w:name="_Toc85826606"/>
    </w:p>
    <w:p>
      <w:pPr>
        <w:pStyle w:val="4"/>
        <w:numPr>
          <w:ilvl w:val="0"/>
          <w:numId w:val="0"/>
        </w:numPr>
        <w:adjustRightInd w:val="0"/>
        <w:snapToGrid w:val="0"/>
        <w:ind w:left="218" w:leftChars="68" w:firstLine="320" w:firstLineChars="100"/>
        <w:rPr>
          <w:b w:val="0"/>
          <w:bCs w:val="0"/>
        </w:rPr>
      </w:pPr>
      <w:r>
        <w:rPr>
          <w:rFonts w:hint="eastAsia"/>
          <w:b w:val="0"/>
          <w:bCs w:val="0"/>
        </w:rPr>
        <w:t>（四）设施用地方案</w:t>
      </w:r>
      <w:bookmarkEnd w:id="58"/>
      <w:r>
        <w:rPr>
          <w:rFonts w:hint="eastAsia"/>
          <w:b w:val="0"/>
          <w:bCs w:val="0"/>
        </w:rPr>
        <w:t>。</w:t>
      </w:r>
    </w:p>
    <w:p>
      <w:pPr>
        <w:pStyle w:val="5"/>
        <w:numPr>
          <w:ilvl w:val="0"/>
          <w:numId w:val="17"/>
        </w:numPr>
        <w:adjustRightInd w:val="0"/>
        <w:snapToGrid w:val="0"/>
        <w:ind w:firstLine="640"/>
      </w:pPr>
      <w:r>
        <w:rPr>
          <w:rFonts w:hint="eastAsia"/>
        </w:rPr>
        <w:t>现状保留高校。</w:t>
      </w:r>
    </w:p>
    <w:p>
      <w:pPr>
        <w:adjustRightInd w:val="0"/>
        <w:snapToGrid w:val="0"/>
        <w:ind w:firstLine="640"/>
      </w:pPr>
      <w:r>
        <w:rPr>
          <w:rFonts w:hint="eastAsia"/>
        </w:rPr>
        <w:t>现状保留高校</w:t>
      </w:r>
      <w:r>
        <w:t>8</w:t>
      </w:r>
      <w:r>
        <w:rPr>
          <w:rFonts w:hint="eastAsia"/>
        </w:rPr>
        <w:t>所，用地面积为</w:t>
      </w:r>
      <w:r>
        <w:t>574.49</w:t>
      </w:r>
      <w:r>
        <w:rPr>
          <w:rFonts w:hint="eastAsia"/>
        </w:rPr>
        <w:t>公顷。其中，本科院校</w:t>
      </w:r>
      <w:r>
        <w:t>5</w:t>
      </w:r>
      <w:r>
        <w:rPr>
          <w:rFonts w:hint="eastAsia"/>
        </w:rPr>
        <w:t>所，分别是佛山科学技术学院、广东东软学院、华南师范大学南海校区、南方医科大学顺德校区、广州工商学院三水校区。高职院校</w:t>
      </w:r>
      <w:r>
        <w:t>3</w:t>
      </w:r>
      <w:r>
        <w:rPr>
          <w:rFonts w:hint="eastAsia"/>
        </w:rPr>
        <w:t>所，分别是顺德职业技术学院、广东职业技术学院、广东理工职业学院南海校区。</w:t>
      </w:r>
    </w:p>
    <w:p>
      <w:pPr>
        <w:pStyle w:val="5"/>
        <w:numPr>
          <w:ilvl w:val="0"/>
          <w:numId w:val="17"/>
        </w:numPr>
        <w:adjustRightInd w:val="0"/>
        <w:snapToGrid w:val="0"/>
        <w:ind w:firstLine="640"/>
      </w:pPr>
      <w:r>
        <w:rPr>
          <w:rFonts w:hint="eastAsia"/>
        </w:rPr>
        <w:t>规划扩建高校。</w:t>
      </w:r>
    </w:p>
    <w:p>
      <w:pPr>
        <w:adjustRightInd w:val="0"/>
        <w:snapToGrid w:val="0"/>
        <w:ind w:firstLine="640"/>
      </w:pPr>
      <w:r>
        <w:rPr>
          <w:rFonts w:hint="eastAsia"/>
        </w:rPr>
        <w:t>规划扩建</w:t>
      </w:r>
      <w:r>
        <w:t>5</w:t>
      </w:r>
      <w:r>
        <w:rPr>
          <w:rFonts w:hint="eastAsia"/>
        </w:rPr>
        <w:t>所高校，分别为广东财经大学佛山校区、佛山职业技术学院、广东轻工职业技术学院、广东环境保护工程职业学院、广东舞蹈戏剧职业学院。结合多种用地策略分析，明确学校扩建范围，扩建范围用地面积共</w:t>
      </w:r>
      <w:r>
        <w:t>30.68</w:t>
      </w:r>
      <w:r>
        <w:rPr>
          <w:rFonts w:hint="eastAsia"/>
        </w:rPr>
        <w:t>公顷。</w:t>
      </w:r>
    </w:p>
    <w:p>
      <w:pPr>
        <w:pStyle w:val="5"/>
        <w:numPr>
          <w:ilvl w:val="0"/>
          <w:numId w:val="17"/>
        </w:numPr>
        <w:adjustRightInd w:val="0"/>
        <w:snapToGrid w:val="0"/>
        <w:ind w:firstLine="640"/>
      </w:pPr>
      <w:r>
        <w:rPr>
          <w:rFonts w:hint="eastAsia"/>
        </w:rPr>
        <w:t>规划新增预留高等教育设施用地。</w:t>
      </w:r>
    </w:p>
    <w:p>
      <w:pPr>
        <w:adjustRightInd w:val="0"/>
        <w:snapToGrid w:val="0"/>
        <w:ind w:firstLine="640"/>
      </w:pPr>
      <w:r>
        <w:rPr>
          <w:rFonts w:hint="eastAsia"/>
        </w:rPr>
        <w:t>规划新增</w:t>
      </w:r>
      <w:r>
        <w:t>9</w:t>
      </w:r>
      <w:r>
        <w:rPr>
          <w:rFonts w:hint="eastAsia"/>
        </w:rPr>
        <w:t>处预留高等教育设施用地，总面积</w:t>
      </w:r>
      <w:r>
        <w:t>351.29</w:t>
      </w:r>
      <w:r>
        <w:rPr>
          <w:rFonts w:hint="eastAsia"/>
        </w:rPr>
        <w:t>公顷。</w:t>
      </w:r>
      <w:r>
        <w:t>2025</w:t>
      </w:r>
      <w:r>
        <w:rPr>
          <w:rFonts w:hint="eastAsia"/>
        </w:rPr>
        <w:t>年规划新增用地面积</w:t>
      </w:r>
      <w:r>
        <w:t>152.68</w:t>
      </w:r>
      <w:r>
        <w:rPr>
          <w:rFonts w:hint="eastAsia"/>
        </w:rPr>
        <w:t>公顷；</w:t>
      </w:r>
      <w:r>
        <w:t>2035</w:t>
      </w:r>
      <w:r>
        <w:rPr>
          <w:rFonts w:hint="eastAsia"/>
        </w:rPr>
        <w:t>年规划新增用地面积</w:t>
      </w:r>
      <w:r>
        <w:t>198.61</w:t>
      </w:r>
      <w:r>
        <w:rPr>
          <w:rFonts w:hint="eastAsia"/>
        </w:rPr>
        <w:t>公顷。</w:t>
      </w:r>
    </w:p>
    <w:p>
      <w:pPr>
        <w:pStyle w:val="4"/>
        <w:numPr>
          <w:ilvl w:val="0"/>
          <w:numId w:val="0"/>
        </w:numPr>
        <w:adjustRightInd w:val="0"/>
        <w:snapToGrid w:val="0"/>
        <w:ind w:left="218" w:leftChars="68" w:firstLine="320" w:firstLineChars="100"/>
        <w:rPr>
          <w:b w:val="0"/>
          <w:bCs w:val="0"/>
        </w:rPr>
      </w:pPr>
      <w:bookmarkStart w:id="59" w:name="_Toc85826607"/>
      <w:r>
        <w:rPr>
          <w:rFonts w:hint="eastAsia"/>
          <w:b w:val="0"/>
          <w:bCs w:val="0"/>
        </w:rPr>
        <w:t>（五）设施传导基本指引</w:t>
      </w:r>
      <w:bookmarkEnd w:id="59"/>
      <w:r>
        <w:rPr>
          <w:rFonts w:hint="eastAsia"/>
          <w:b w:val="0"/>
          <w:bCs w:val="0"/>
        </w:rPr>
        <w:t>。</w:t>
      </w:r>
    </w:p>
    <w:p>
      <w:pPr>
        <w:adjustRightInd w:val="0"/>
        <w:snapToGrid w:val="0"/>
        <w:ind w:firstLine="640"/>
      </w:pPr>
      <w:bookmarkStart w:id="60" w:name="_Toc85093740"/>
      <w:bookmarkStart w:id="61" w:name="_Toc85826608"/>
      <w:r>
        <w:rPr>
          <w:rFonts w:hint="eastAsia"/>
        </w:rPr>
        <w:t>控制性详细规划、城市更新单元规划及村庄规划</w:t>
      </w:r>
      <w:r>
        <w:t>编制过程中，</w:t>
      </w:r>
      <w:r>
        <w:rPr>
          <w:rFonts w:hint="eastAsia"/>
        </w:rPr>
        <w:t>应落实</w:t>
      </w:r>
      <w:r>
        <w:t>专规</w:t>
      </w:r>
      <w:r>
        <w:rPr>
          <w:rFonts w:hint="eastAsia"/>
        </w:rPr>
        <w:t>的</w:t>
      </w:r>
      <w:r>
        <w:t>设施布局</w:t>
      </w:r>
      <w:r>
        <w:rPr>
          <w:rFonts w:hint="eastAsia"/>
        </w:rPr>
        <w:t>方案</w:t>
      </w:r>
      <w:r>
        <w:t>。</w:t>
      </w:r>
      <w:r>
        <w:rPr>
          <w:rFonts w:hint="eastAsia"/>
        </w:rPr>
        <w:t>具体落实高等教育设施用地过程中，在保证单个高等教育设施用地总规模不变的前提下，可对用地边界进行调整。</w:t>
      </w:r>
    </w:p>
    <w:p>
      <w:pPr>
        <w:pStyle w:val="19"/>
        <w:adjustRightInd w:val="0"/>
        <w:snapToGrid w:val="0"/>
        <w:ind w:firstLine="480"/>
        <w:sectPr>
          <w:pgSz w:w="11906" w:h="16838"/>
          <w:pgMar w:top="1440" w:right="1800" w:bottom="1440" w:left="1800" w:header="851" w:footer="992" w:gutter="0"/>
          <w:cols w:space="425" w:num="1"/>
          <w:docGrid w:type="lines" w:linePitch="312" w:charSpace="0"/>
        </w:sectPr>
      </w:pPr>
    </w:p>
    <w:p>
      <w:pPr>
        <w:pStyle w:val="3"/>
        <w:numPr>
          <w:ilvl w:val="0"/>
          <w:numId w:val="0"/>
        </w:numPr>
        <w:adjustRightInd w:val="0"/>
        <w:snapToGrid w:val="0"/>
        <w:ind w:firstLine="640" w:firstLineChars="200"/>
        <w:rPr>
          <w:b w:val="0"/>
          <w:bCs/>
        </w:rPr>
      </w:pPr>
      <w:r>
        <w:rPr>
          <w:rFonts w:hint="eastAsia"/>
          <w:b w:val="0"/>
          <w:bCs/>
        </w:rPr>
        <w:t>十三、规划实施</w:t>
      </w:r>
      <w:bookmarkEnd w:id="60"/>
      <w:bookmarkEnd w:id="61"/>
      <w:r>
        <w:rPr>
          <w:rFonts w:hint="eastAsia"/>
          <w:b w:val="0"/>
          <w:bCs/>
        </w:rPr>
        <w:t>和保障</w:t>
      </w:r>
    </w:p>
    <w:p>
      <w:pPr>
        <w:pStyle w:val="4"/>
        <w:numPr>
          <w:ilvl w:val="0"/>
          <w:numId w:val="0"/>
        </w:numPr>
        <w:adjustRightInd w:val="0"/>
        <w:snapToGrid w:val="0"/>
        <w:ind w:firstLine="640" w:firstLineChars="200"/>
        <w:rPr>
          <w:b w:val="0"/>
          <w:bCs w:val="0"/>
        </w:rPr>
      </w:pPr>
      <w:bookmarkStart w:id="62" w:name="_Toc102125088"/>
      <w:bookmarkStart w:id="63" w:name="_Toc32670560"/>
      <w:bookmarkStart w:id="64" w:name="_Toc19906387"/>
      <w:r>
        <w:rPr>
          <w:rFonts w:hint="eastAsia"/>
          <w:b w:val="0"/>
          <w:bCs w:val="0"/>
        </w:rPr>
        <w:t>（一）规划实施建议</w:t>
      </w:r>
      <w:bookmarkEnd w:id="62"/>
      <w:bookmarkEnd w:id="63"/>
      <w:bookmarkEnd w:id="64"/>
      <w:r>
        <w:rPr>
          <w:rFonts w:hint="eastAsia"/>
          <w:b w:val="0"/>
          <w:bCs w:val="0"/>
        </w:rPr>
        <w:t>。</w:t>
      </w:r>
    </w:p>
    <w:p>
      <w:pPr>
        <w:pStyle w:val="5"/>
        <w:numPr>
          <w:ilvl w:val="0"/>
          <w:numId w:val="18"/>
        </w:numPr>
        <w:adjustRightInd w:val="0"/>
        <w:snapToGrid w:val="0"/>
        <w:ind w:firstLine="640"/>
      </w:pPr>
      <w:r>
        <w:rPr>
          <w:rFonts w:hint="eastAsia"/>
        </w:rPr>
        <w:t>增加教育设施用地。</w:t>
      </w:r>
    </w:p>
    <w:p>
      <w:pPr>
        <w:adjustRightInd w:val="0"/>
        <w:snapToGrid w:val="0"/>
        <w:ind w:firstLine="640"/>
      </w:pPr>
      <w:r>
        <w:rPr>
          <w:rFonts w:hint="eastAsia"/>
        </w:rPr>
        <w:t>（1） 保留腾退教育设施用地。因异地重建、学校撤并产生的腾退教育设施用地和校舍，原则上应保留教育用地功能。但在教育用地不减少的情况下，支持将多个小的地块集中置换成大地块，置换后原有地块可调整为非教育用地。</w:t>
      </w:r>
    </w:p>
    <w:p>
      <w:pPr>
        <w:adjustRightInd w:val="0"/>
        <w:snapToGrid w:val="0"/>
        <w:ind w:firstLine="640"/>
      </w:pPr>
      <w:r>
        <w:rPr>
          <w:rFonts w:hint="eastAsia"/>
        </w:rPr>
        <w:t>（</w:t>
      </w:r>
      <w:r>
        <w:t>2</w:t>
      </w:r>
      <w:r>
        <w:rPr>
          <w:rFonts w:hint="eastAsia"/>
        </w:rPr>
        <w:t>） 严控规划教育用地不调减。本专项规划已经确定为教育用地的，控规及其他专项规划应予以保障，不得随意调整位置和用地总量。如确因特殊原因需要调整，需征得自然资源部门、教育部门以及所在镇街同意，在保证学位供给充足和布局科学合理的情况下，办理调整用地所需手续，且应保证用地面积不减少。</w:t>
      </w:r>
    </w:p>
    <w:p>
      <w:pPr>
        <w:adjustRightInd w:val="0"/>
        <w:snapToGrid w:val="0"/>
        <w:ind w:firstLine="640"/>
      </w:pPr>
      <w:r>
        <w:rPr>
          <w:rFonts w:hint="eastAsia"/>
        </w:rPr>
        <w:t>（</w:t>
      </w:r>
      <w:r>
        <w:t>3</w:t>
      </w:r>
      <w:r>
        <w:rPr>
          <w:rFonts w:hint="eastAsia"/>
        </w:rPr>
        <w:t>） 挖潜城市更新用地。根据《佛山市人民政府办公室关于印发佛山市城市更新单元计划管理规定的通知（佛府办</w:t>
      </w:r>
      <w:r>
        <w:rPr>
          <w:rFonts w:hint="eastAsia" w:ascii="微软雅黑" w:hAnsi="微软雅黑" w:eastAsia="微软雅黑" w:cs="微软雅黑"/>
        </w:rPr>
        <w:t>﹝</w:t>
      </w:r>
      <w:r>
        <w:rPr>
          <w:rFonts w:hint="eastAsia"/>
        </w:rPr>
        <w:t>2020</w:t>
      </w:r>
      <w:r>
        <w:rPr>
          <w:rFonts w:hint="eastAsia" w:ascii="微软雅黑" w:hAnsi="微软雅黑" w:eastAsia="微软雅黑" w:cs="微软雅黑"/>
        </w:rPr>
        <w:t>﹞</w:t>
      </w:r>
      <w:r>
        <w:rPr>
          <w:rFonts w:hint="eastAsia"/>
        </w:rPr>
        <w:t>17号）》，对于“工改居”、“工改商”项目，以及旧村居、旧城镇改造项目，应当将不低于15%的用地无偿移交政府用于建设公益性项目。在城市更新规划中，应对片区公共服务设施配置情况进行评估，对于学位紧缺的区域，应保障公益性用地优先用于教育设施的建设，确保教育用地供给与城市更新带来的人口增长相匹配。</w:t>
      </w:r>
    </w:p>
    <w:p>
      <w:pPr>
        <w:pStyle w:val="5"/>
        <w:numPr>
          <w:ilvl w:val="0"/>
          <w:numId w:val="18"/>
        </w:numPr>
        <w:adjustRightInd w:val="0"/>
        <w:snapToGrid w:val="0"/>
        <w:ind w:firstLine="640"/>
      </w:pPr>
      <w:r>
        <w:rPr>
          <w:rFonts w:hint="eastAsia"/>
        </w:rPr>
        <w:t>加强教育专规传导协调。</w:t>
      </w:r>
    </w:p>
    <w:p>
      <w:pPr>
        <w:adjustRightInd w:val="0"/>
        <w:snapToGrid w:val="0"/>
        <w:ind w:firstLine="640"/>
      </w:pPr>
      <w:r>
        <w:rPr>
          <w:rFonts w:hint="eastAsia"/>
        </w:rPr>
        <w:t>（1） 加强与国土空间总体规划衔接。教育专项纳入到佛山市国土空间总体规划成果中，形成法定约束力。其中高等教育设施在市级、区级国土空间规划中应落实用地范围线，基础教育设施在市级国土空间规划中应落实点位，中心城区及区级国土空间规划有条件地可落实用地范围线。</w:t>
      </w:r>
    </w:p>
    <w:p>
      <w:pPr>
        <w:adjustRightInd w:val="0"/>
        <w:snapToGrid w:val="0"/>
        <w:ind w:firstLine="640"/>
      </w:pPr>
      <w:r>
        <w:rPr>
          <w:rFonts w:hint="eastAsia"/>
        </w:rPr>
        <w:t>（</w:t>
      </w:r>
      <w:r>
        <w:t>2</w:t>
      </w:r>
      <w:r>
        <w:rPr>
          <w:rFonts w:hint="eastAsia"/>
        </w:rPr>
        <w:t>） 加强向区级专规的传导。对于市教育专规中的强制性要求，区级专规应严格落实，不得降低标准。强制性要求包括以下内容：一是教育设施配置标准中的强制性规定，二是市级专项规划分解的各镇人口规模，三是学前、义务教育阶段、高中阶段规划方案中，市级专项规划提出的各区各学段学位总数。区级专规形成完整成果后，报市市教育局审查，成果符合专规编制要求和深度后方能印发实施。</w:t>
      </w:r>
    </w:p>
    <w:p>
      <w:pPr>
        <w:adjustRightInd w:val="0"/>
        <w:snapToGrid w:val="0"/>
        <w:ind w:firstLine="640"/>
      </w:pPr>
      <w:r>
        <w:rPr>
          <w:rFonts w:hint="eastAsia"/>
        </w:rPr>
        <w:t>（</w:t>
      </w:r>
      <w:r>
        <w:t>3</w:t>
      </w:r>
      <w:r>
        <w:rPr>
          <w:rFonts w:hint="eastAsia"/>
        </w:rPr>
        <w:t>） 确保控规落实教育专规。各区应及时开展控规与市级教育专规的比对工作，对于未落实市级专规教育用地的控规，应由规划主管部门组织，有序启动规划调整，确保教育用地在控规中予以落实。</w:t>
      </w:r>
    </w:p>
    <w:p>
      <w:pPr>
        <w:pStyle w:val="5"/>
        <w:numPr>
          <w:ilvl w:val="0"/>
          <w:numId w:val="18"/>
        </w:numPr>
        <w:adjustRightInd w:val="0"/>
        <w:snapToGrid w:val="0"/>
        <w:ind w:firstLine="640"/>
      </w:pPr>
      <w:r>
        <w:rPr>
          <w:rFonts w:hint="eastAsia"/>
        </w:rPr>
        <w:t>落实分期建设计划。</w:t>
      </w:r>
    </w:p>
    <w:p>
      <w:pPr>
        <w:adjustRightInd w:val="0"/>
        <w:snapToGrid w:val="0"/>
        <w:ind w:firstLine="640"/>
      </w:pPr>
      <w:r>
        <w:rPr>
          <w:rFonts w:hint="eastAsia"/>
        </w:rPr>
        <w:t>（1） 建立年度教育设施项目库。对十四五期间建设项目的责任主体、建设资金、预计增加学位数、预计完工时间等提前做好摸查与部署，建立完善的年度实施项目库，以保障教育设施有序建设。</w:t>
      </w:r>
    </w:p>
    <w:p>
      <w:pPr>
        <w:adjustRightInd w:val="0"/>
        <w:snapToGrid w:val="0"/>
        <w:ind w:firstLine="640"/>
      </w:pPr>
      <w:r>
        <w:rPr>
          <w:rFonts w:hint="eastAsia"/>
        </w:rPr>
        <w:t>（</w:t>
      </w:r>
      <w:r>
        <w:t>2</w:t>
      </w:r>
      <w:r>
        <w:rPr>
          <w:rFonts w:hint="eastAsia"/>
        </w:rPr>
        <w:t>） 定期核查建设情况。结合市区“十四五”学校建设计划，每年年中、年底对教育设施建设情况进行统计，对比目录了解时序进度，督促建设进展。</w:t>
      </w:r>
    </w:p>
    <w:p>
      <w:pPr>
        <w:adjustRightInd w:val="0"/>
        <w:snapToGrid w:val="0"/>
        <w:ind w:firstLine="640"/>
      </w:pPr>
      <w:r>
        <w:rPr>
          <w:rFonts w:hint="eastAsia"/>
        </w:rPr>
        <w:t>（</w:t>
      </w:r>
      <w:r>
        <w:t>3</w:t>
      </w:r>
      <w:r>
        <w:rPr>
          <w:rFonts w:hint="eastAsia"/>
        </w:rPr>
        <w:t>） 滚动调整近远期建设计划。每年开展专项规划修编，根据教育设施项目完成情况调整建设计划。</w:t>
      </w:r>
    </w:p>
    <w:p>
      <w:pPr>
        <w:pStyle w:val="5"/>
        <w:numPr>
          <w:ilvl w:val="0"/>
          <w:numId w:val="18"/>
        </w:numPr>
        <w:adjustRightInd w:val="0"/>
        <w:snapToGrid w:val="0"/>
        <w:ind w:firstLine="640"/>
      </w:pPr>
      <w:r>
        <w:rPr>
          <w:rFonts w:hint="eastAsia"/>
        </w:rPr>
        <w:t>保障重点片区规划实施。</w:t>
      </w:r>
    </w:p>
    <w:p>
      <w:pPr>
        <w:adjustRightInd w:val="0"/>
        <w:snapToGrid w:val="0"/>
        <w:ind w:firstLine="640"/>
      </w:pPr>
      <w:r>
        <w:rPr>
          <w:rFonts w:hint="eastAsia"/>
        </w:rPr>
        <w:t>（1） 明确规划重点片区。各区结合学位供给情况、人口增长趋势划定重点片区，将学位缺口大、人口增长快的片区划定为重点保障区。优先将十四五期间建设学校落实在重点片区，持续缓解重点片区的学位缺口。</w:t>
      </w:r>
    </w:p>
    <w:p>
      <w:pPr>
        <w:adjustRightInd w:val="0"/>
        <w:snapToGrid w:val="0"/>
        <w:ind w:firstLine="640"/>
      </w:pPr>
      <w:r>
        <w:rPr>
          <w:rFonts w:hint="eastAsia"/>
        </w:rPr>
        <w:t>（</w:t>
      </w:r>
      <w:r>
        <w:t>2</w:t>
      </w:r>
      <w:r>
        <w:rPr>
          <w:rFonts w:hint="eastAsia"/>
        </w:rPr>
        <w:t>） 监督重点片区实施情况。结合佛山市教育地图，建立二类居住用地出让、学龄人口和社区人口增减与学位供给的动态监控平台，实时监控片区教育资源供给情况的变化趋势，对设施供给与人口增长不匹配的区域及时预警。</w:t>
      </w:r>
    </w:p>
    <w:p>
      <w:pPr>
        <w:adjustRightInd w:val="0"/>
        <w:snapToGrid w:val="0"/>
        <w:ind w:firstLine="640"/>
      </w:pPr>
      <w:r>
        <w:rPr>
          <w:rFonts w:hint="eastAsia"/>
        </w:rPr>
        <w:t>（</w:t>
      </w:r>
      <w:r>
        <w:t>3</w:t>
      </w:r>
      <w:r>
        <w:rPr>
          <w:rFonts w:hint="eastAsia"/>
        </w:rPr>
        <w:t>） 实现学位预警。系统梳理建立佛山市教育设施地理数据库，全景化展示教育设施用地布局和规划信息。实时监控全市各区域学校建设进度和变化趋势，实现学位预警功能。</w:t>
      </w:r>
    </w:p>
    <w:p>
      <w:pPr>
        <w:pStyle w:val="4"/>
        <w:numPr>
          <w:ilvl w:val="0"/>
          <w:numId w:val="0"/>
        </w:numPr>
        <w:adjustRightInd w:val="0"/>
        <w:snapToGrid w:val="0"/>
        <w:ind w:firstLine="640" w:firstLineChars="200"/>
        <w:rPr>
          <w:b w:val="0"/>
          <w:bCs w:val="0"/>
        </w:rPr>
      </w:pPr>
      <w:bookmarkStart w:id="65" w:name="_Toc102125089"/>
      <w:r>
        <w:rPr>
          <w:rFonts w:hint="eastAsia"/>
          <w:b w:val="0"/>
          <w:bCs w:val="0"/>
        </w:rPr>
        <w:t>（二）规划保障建议</w:t>
      </w:r>
      <w:bookmarkEnd w:id="65"/>
      <w:r>
        <w:rPr>
          <w:rFonts w:hint="eastAsia"/>
          <w:b w:val="0"/>
          <w:bCs w:val="0"/>
        </w:rPr>
        <w:t>。</w:t>
      </w:r>
    </w:p>
    <w:p>
      <w:pPr>
        <w:pStyle w:val="5"/>
        <w:numPr>
          <w:ilvl w:val="0"/>
          <w:numId w:val="19"/>
        </w:numPr>
        <w:adjustRightInd w:val="0"/>
        <w:snapToGrid w:val="0"/>
        <w:ind w:firstLine="709" w:firstLineChars="0"/>
      </w:pPr>
      <w:r>
        <w:rPr>
          <w:rFonts w:hint="eastAsia"/>
        </w:rPr>
        <w:t>加强组织领导。</w:t>
      </w:r>
    </w:p>
    <w:p>
      <w:pPr>
        <w:adjustRightInd w:val="0"/>
        <w:snapToGrid w:val="0"/>
        <w:ind w:firstLine="640"/>
      </w:pPr>
      <w:r>
        <w:rPr>
          <w:rFonts w:hint="eastAsia"/>
        </w:rPr>
        <w:t>（</w:t>
      </w:r>
      <w:r>
        <w:t>1</w:t>
      </w:r>
      <w:r>
        <w:rPr>
          <w:rFonts w:hint="eastAsia"/>
        </w:rPr>
        <w:t>） 落实教育优先发展战略地位，夯实政府发展教育设施、落实教育专项规划的主体责任。</w:t>
      </w:r>
    </w:p>
    <w:p>
      <w:pPr>
        <w:adjustRightInd w:val="0"/>
        <w:snapToGrid w:val="0"/>
        <w:ind w:firstLine="640"/>
      </w:pPr>
      <w:r>
        <w:rPr>
          <w:rFonts w:hint="eastAsia"/>
        </w:rPr>
        <w:t>（</w:t>
      </w:r>
      <w:r>
        <w:t>2</w:t>
      </w:r>
      <w:r>
        <w:rPr>
          <w:rFonts w:hint="eastAsia"/>
        </w:rPr>
        <w:t>） 完善教育设施发展问责体制机制，建立规划实施监督机制和定期评估发布制度，定期核查并报告教育改革和发展情况。</w:t>
      </w:r>
    </w:p>
    <w:p>
      <w:pPr>
        <w:adjustRightInd w:val="0"/>
        <w:snapToGrid w:val="0"/>
        <w:ind w:firstLine="640"/>
        <w:sectPr>
          <w:pgSz w:w="11906" w:h="16838"/>
          <w:pgMar w:top="1440" w:right="1800" w:bottom="1440" w:left="1800" w:header="851" w:footer="992" w:gutter="0"/>
          <w:cols w:space="425" w:num="1"/>
          <w:docGrid w:type="lines" w:linePitch="312" w:charSpace="0"/>
        </w:sectPr>
      </w:pPr>
      <w:r>
        <w:rPr>
          <w:rFonts w:hint="eastAsia"/>
        </w:rPr>
        <w:t>（</w:t>
      </w:r>
      <w:r>
        <w:t>3</w:t>
      </w:r>
      <w:r>
        <w:rPr>
          <w:rFonts w:hint="eastAsia"/>
        </w:rPr>
        <w:t>） 建立体现科学发展观和正确政绩观要求的综合考核评价体系，把推进教育设施建设作为各级党委、政府政绩考核的重要内容。</w:t>
      </w:r>
    </w:p>
    <w:p>
      <w:pPr>
        <w:pStyle w:val="5"/>
        <w:numPr>
          <w:ilvl w:val="0"/>
          <w:numId w:val="19"/>
        </w:numPr>
        <w:adjustRightInd w:val="0"/>
        <w:snapToGrid w:val="0"/>
        <w:ind w:firstLine="709" w:firstLineChars="0"/>
      </w:pPr>
      <w:r>
        <w:rPr>
          <w:rFonts w:hint="eastAsia"/>
        </w:rPr>
        <w:t>提升教育经费供给能力和水平。</w:t>
      </w:r>
    </w:p>
    <w:p>
      <w:pPr>
        <w:adjustRightInd w:val="0"/>
        <w:snapToGrid w:val="0"/>
        <w:ind w:firstLine="640"/>
      </w:pPr>
      <w:r>
        <w:rPr>
          <w:rFonts w:hint="eastAsia"/>
        </w:rPr>
        <w:t>（</w:t>
      </w:r>
      <w:r>
        <w:t>1</w:t>
      </w:r>
      <w:r>
        <w:rPr>
          <w:rFonts w:hint="eastAsia"/>
        </w:rPr>
        <w:t>） 拓宽基础教育教育经费来源渠道，完善教育经费保障机制。建立与居住用地出让挂钩的财政保障机制。按照所出让居住用地的人口容量，由政府制定统一标准，在土地出让收益中预留教育建设所需的财政资金。建立教育建设专项资金，按照教育建设年度计划，专款专用。</w:t>
      </w:r>
    </w:p>
    <w:p>
      <w:pPr>
        <w:adjustRightInd w:val="0"/>
        <w:snapToGrid w:val="0"/>
        <w:ind w:firstLine="640"/>
      </w:pPr>
      <w:r>
        <w:rPr>
          <w:rFonts w:hint="eastAsia"/>
        </w:rPr>
        <w:t>（</w:t>
      </w:r>
      <w:r>
        <w:t>2</w:t>
      </w:r>
      <w:r>
        <w:rPr>
          <w:rFonts w:hint="eastAsia"/>
        </w:rPr>
        <w:t>） 强化基础教育教育经费使用管理，提高资金使用效益。探索教育资源的共建共享，进一步优化集团化办学改革，以教育邻里单元为抓手，加强控规单元内部教育设施的资源统筹与共享。</w:t>
      </w:r>
    </w:p>
    <w:p>
      <w:pPr>
        <w:adjustRightInd w:val="0"/>
        <w:snapToGrid w:val="0"/>
        <w:ind w:firstLine="640"/>
      </w:pPr>
      <w:r>
        <w:rPr>
          <w:rFonts w:hint="eastAsia"/>
        </w:rPr>
        <w:t>（</w:t>
      </w:r>
      <w:r>
        <w:t>3</w:t>
      </w:r>
      <w:r>
        <w:rPr>
          <w:rFonts w:hint="eastAsia"/>
        </w:rPr>
        <w:t>） 科学合理确定高等教育发展规模和财政投入方式，研究完善修订现有资金投入政策，规范生均经费和专项经费投入标准和方式。</w:t>
      </w:r>
    </w:p>
    <w:p>
      <w:pPr>
        <w:adjustRightInd w:val="0"/>
        <w:snapToGrid w:val="0"/>
        <w:ind w:firstLine="640"/>
      </w:pPr>
      <w:r>
        <w:rPr>
          <w:rFonts w:hint="eastAsia"/>
        </w:rPr>
        <w:t>（</w:t>
      </w:r>
      <w:r>
        <w:t>4</w:t>
      </w:r>
      <w:r>
        <w:rPr>
          <w:rFonts w:hint="eastAsia"/>
        </w:rPr>
        <w:t>） 探索高等教育科研及服务、校办企业效益、社会捐赠等多元化投入渠道和财政配给机制，激励社会力量参与举办高等教育，减轻财政负担。</w:t>
      </w:r>
    </w:p>
    <w:p>
      <w:pPr>
        <w:adjustRightInd w:val="0"/>
        <w:snapToGrid w:val="0"/>
        <w:ind w:firstLine="640"/>
      </w:pPr>
      <w:r>
        <w:rPr>
          <w:rFonts w:hint="eastAsia"/>
        </w:rPr>
        <w:t>（</w:t>
      </w:r>
      <w:r>
        <w:t>5</w:t>
      </w:r>
      <w:r>
        <w:rPr>
          <w:rFonts w:hint="eastAsia"/>
        </w:rPr>
        <w:t>） 强化高等教育资金绩效管理，使资金投入与高校服务佛山产业发展的关联度和贡献度相结合，以结果为导向，实施差异化财政支持。</w:t>
      </w:r>
    </w:p>
    <w:p>
      <w:pPr>
        <w:pStyle w:val="5"/>
        <w:numPr>
          <w:ilvl w:val="0"/>
          <w:numId w:val="19"/>
        </w:numPr>
        <w:adjustRightInd w:val="0"/>
        <w:snapToGrid w:val="0"/>
        <w:ind w:firstLine="709" w:firstLineChars="0"/>
      </w:pPr>
      <w:r>
        <w:rPr>
          <w:rFonts w:hint="eastAsia"/>
        </w:rPr>
        <w:t>推进协调组织实施。</w:t>
      </w:r>
    </w:p>
    <w:p>
      <w:pPr>
        <w:adjustRightInd w:val="0"/>
        <w:snapToGrid w:val="0"/>
        <w:ind w:firstLine="640"/>
      </w:pPr>
      <w:r>
        <w:rPr>
          <w:rFonts w:hint="eastAsia"/>
        </w:rPr>
        <w:t>（</w:t>
      </w:r>
      <w:r>
        <w:t>1</w:t>
      </w:r>
      <w:r>
        <w:rPr>
          <w:rFonts w:hint="eastAsia"/>
        </w:rPr>
        <w:t>） 《佛山市教育设施布局专项规划（2020-2035）》作为《佛山市国土空间总体规划（2020-2035）》的重要组成部分，是指导“十四五”时期乃至2035年以前全市教育设施布局和建设的纲领性文件，是全市各级政府和部门依法履行教育规划职责，编制年度教育工作计划，评审教育发展，制定实施各项政策措施的重要依据，必须加强规划的组织与实施。</w:t>
      </w:r>
    </w:p>
    <w:p>
      <w:pPr>
        <w:adjustRightInd w:val="0"/>
        <w:snapToGrid w:val="0"/>
        <w:ind w:firstLine="640"/>
      </w:pPr>
      <w:r>
        <w:rPr>
          <w:rFonts w:hint="eastAsia"/>
        </w:rPr>
        <w:t>（</w:t>
      </w:r>
      <w:r>
        <w:t>2</w:t>
      </w:r>
      <w:r>
        <w:rPr>
          <w:rFonts w:hint="eastAsia"/>
        </w:rPr>
        <w:t>） 全市各区、市直各有关部门要明确管理职责，切实履行职能，认真落实本规划的各项措施，各司其</w:t>
      </w:r>
      <w:r>
        <w:rPr>
          <w:rFonts w:hint="eastAsia"/>
          <w:lang w:val="en-US" w:eastAsia="zh-CN"/>
        </w:rPr>
        <w:t>职</w:t>
      </w:r>
      <w:bookmarkStart w:id="66" w:name="_GoBack"/>
      <w:bookmarkEnd w:id="66"/>
      <w:r>
        <w:rPr>
          <w:rFonts w:hint="eastAsia"/>
        </w:rPr>
        <w:t>，形成齐抓共管的良好局面。加强协调合作，采取联合调研、部门会商等方式，共同研究解决教育规划实施中的重大问题。重视做好舆论宣传，建立新闻通气和发布制度，及时发布信息，主动通报进展，掌握舆论主动权，为规划实施营造良好氛围。</w:t>
      </w:r>
    </w:p>
    <w:p>
      <w:pPr>
        <w:pStyle w:val="5"/>
        <w:numPr>
          <w:ilvl w:val="0"/>
          <w:numId w:val="19"/>
        </w:numPr>
        <w:adjustRightInd w:val="0"/>
        <w:snapToGrid w:val="0"/>
        <w:ind w:firstLine="709" w:firstLineChars="0"/>
      </w:pPr>
      <w:r>
        <w:rPr>
          <w:rFonts w:hint="eastAsia"/>
        </w:rPr>
        <w:t>推动规划审批流程、设计单位遴选和建设观念创新。</w:t>
      </w:r>
    </w:p>
    <w:p>
      <w:pPr>
        <w:adjustRightInd w:val="0"/>
        <w:snapToGrid w:val="0"/>
        <w:ind w:firstLine="640"/>
      </w:pPr>
      <w:r>
        <w:rPr>
          <w:rFonts w:hint="eastAsia"/>
        </w:rPr>
        <w:t>（</w:t>
      </w:r>
      <w:r>
        <w:t>1</w:t>
      </w:r>
      <w:r>
        <w:rPr>
          <w:rFonts w:hint="eastAsia"/>
        </w:rPr>
        <w:t>） 推动规划审批流程、设计单位遴选机制的创新。对于土地资源紧缺的城市建成区，若现状学校进行改造时，确实无法通过扩大用地范围以达到满足生均用地标准的要求，应严控新校园重建方案。在技术规范允许的范围内提高建筑、规划指标，也可先行高标准完成校园建设的概念方案，再根据方案推导合理的规划条件。探索推动各种管理机制的改革创新，如规划审批流程、规划设计单位遴选机制（出台三优规范，优选、优价、优效的遴选机制）等。</w:t>
      </w:r>
    </w:p>
    <w:p>
      <w:pPr>
        <w:adjustRightInd w:val="0"/>
        <w:snapToGrid w:val="0"/>
        <w:ind w:firstLine="640"/>
      </w:pPr>
      <w:r>
        <w:rPr>
          <w:rFonts w:hint="eastAsia"/>
        </w:rPr>
        <w:t>（</w:t>
      </w:r>
      <w:r>
        <w:t>2</w:t>
      </w:r>
      <w:r>
        <w:rPr>
          <w:rFonts w:hint="eastAsia"/>
        </w:rPr>
        <w:t>） 创新建设观念，建设未来学校，充分关注学生培育的需求。校园设计在满足现有的生均用地及建筑面积标准的基础上，应重点突出以环境激发学习和交流，可持续发展，将场所发展为师长、伙伴外的第三教师，呈现社区记忆、拓展地方历史，促进校园自治开放与共享，强化空间的灵活自主和多样性，以及建筑安全舒适。</w:t>
      </w:r>
    </w:p>
    <w:p>
      <w:pPr>
        <w:pStyle w:val="5"/>
        <w:numPr>
          <w:ilvl w:val="0"/>
          <w:numId w:val="19"/>
        </w:numPr>
        <w:adjustRightInd w:val="0"/>
        <w:snapToGrid w:val="0"/>
        <w:ind w:firstLine="709" w:firstLineChars="0"/>
      </w:pPr>
      <w:r>
        <w:rPr>
          <w:rFonts w:hint="eastAsia"/>
        </w:rPr>
        <w:t>出台配套文件。</w:t>
      </w:r>
    </w:p>
    <w:p>
      <w:pPr>
        <w:pStyle w:val="5"/>
        <w:adjustRightInd w:val="0"/>
        <w:snapToGrid w:val="0"/>
        <w:ind w:firstLine="640"/>
      </w:pPr>
      <w:r>
        <w:rPr>
          <w:rFonts w:hint="eastAsia"/>
        </w:rPr>
        <w:t>对于教育设施用地的保障、“麻雀学校</w:t>
      </w:r>
      <w:r>
        <w:rPr>
          <w:rStyle w:val="18"/>
        </w:rPr>
        <w:footnoteReference w:id="4"/>
      </w:r>
      <w:r>
        <w:rPr>
          <w:rFonts w:hint="eastAsia"/>
        </w:rPr>
        <w:t>”的迁建等问题，应出台相关规范性文件明确各项工作流程及要求，解决实际建设工作推进的重大问题。</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9995409"/>
    </w:sdtPr>
    <w:sdtContent>
      <w:p>
        <w:pPr>
          <w:pStyle w:val="10"/>
          <w:ind w:firstLine="360"/>
          <w:jc w:val="center"/>
        </w:pPr>
        <w:r>
          <w:fldChar w:fldCharType="begin"/>
        </w:r>
        <w:r>
          <w:instrText xml:space="preserve">PAGE   \* MERGEFORMAT</w:instrText>
        </w:r>
        <w:r>
          <w:fldChar w:fldCharType="separate"/>
        </w:r>
        <w:r>
          <w:rPr>
            <w:lang w:val="zh-CN"/>
          </w:rPr>
          <w:t>13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pPr>
        <w:spacing w:line="240" w:lineRule="auto"/>
        <w:ind w:firstLine="640"/>
      </w:pPr>
      <w:r>
        <w:separator/>
      </w:r>
    </w:p>
  </w:footnote>
  <w:footnote w:type="continuationSeparator" w:id="11">
    <w:p>
      <w:pPr>
        <w:spacing w:line="240" w:lineRule="auto"/>
        <w:ind w:firstLine="640"/>
      </w:pPr>
      <w:r>
        <w:continuationSeparator/>
      </w:r>
    </w:p>
  </w:footnote>
  <w:footnote w:id="0">
    <w:p>
      <w:pPr>
        <w:pStyle w:val="12"/>
        <w:ind w:firstLine="360"/>
      </w:pPr>
      <w:r>
        <w:rPr>
          <w:rStyle w:val="18"/>
        </w:rPr>
        <w:footnoteRef/>
      </w:r>
      <w:r>
        <w:t xml:space="preserve"> </w:t>
      </w:r>
      <w:r>
        <w:rPr>
          <w:rFonts w:hint="eastAsia"/>
        </w:rPr>
        <w:t>幼儿园</w:t>
      </w:r>
      <w:r>
        <w:t>按每校18班</w:t>
      </w:r>
      <w:r>
        <w:rPr>
          <w:rFonts w:hint="eastAsia"/>
        </w:rPr>
        <w:t>，</w:t>
      </w:r>
      <w:r>
        <w:t>每班30人</w:t>
      </w:r>
      <w:r>
        <w:rPr>
          <w:rFonts w:hint="eastAsia"/>
        </w:rPr>
        <w:t>计算</w:t>
      </w:r>
      <w:r>
        <w:t>。</w:t>
      </w:r>
    </w:p>
  </w:footnote>
  <w:footnote w:id="1">
    <w:p>
      <w:pPr>
        <w:pStyle w:val="12"/>
        <w:ind w:firstLine="360"/>
      </w:pPr>
      <w:r>
        <w:rPr>
          <w:rStyle w:val="18"/>
        </w:rPr>
        <w:footnoteRef/>
      </w:r>
      <w:r>
        <w:t xml:space="preserve"> </w:t>
      </w:r>
      <w:r>
        <w:rPr>
          <w:rFonts w:hint="eastAsia"/>
        </w:rPr>
        <w:t>小学</w:t>
      </w:r>
      <w:r>
        <w:t>按每校36班</w:t>
      </w:r>
      <w:r>
        <w:rPr>
          <w:rFonts w:hint="eastAsia"/>
        </w:rPr>
        <w:t>，</w:t>
      </w:r>
      <w:r>
        <w:t>每班45人</w:t>
      </w:r>
      <w:r>
        <w:rPr>
          <w:rFonts w:hint="eastAsia"/>
        </w:rPr>
        <w:t>计算</w:t>
      </w:r>
      <w:r>
        <w:t>。</w:t>
      </w:r>
    </w:p>
  </w:footnote>
  <w:footnote w:id="2">
    <w:p>
      <w:pPr>
        <w:pStyle w:val="12"/>
        <w:ind w:firstLine="360"/>
      </w:pPr>
      <w:r>
        <w:rPr>
          <w:rStyle w:val="18"/>
        </w:rPr>
        <w:footnoteRef/>
      </w:r>
      <w:r>
        <w:t xml:space="preserve"> </w:t>
      </w:r>
      <w:r>
        <w:rPr>
          <w:rFonts w:hint="eastAsia"/>
        </w:rPr>
        <w:t>初中</w:t>
      </w:r>
      <w:r>
        <w:t>按每校36班</w:t>
      </w:r>
      <w:r>
        <w:rPr>
          <w:rFonts w:hint="eastAsia"/>
        </w:rPr>
        <w:t>，</w:t>
      </w:r>
      <w:r>
        <w:t>每班50人</w:t>
      </w:r>
      <w:r>
        <w:rPr>
          <w:rFonts w:hint="eastAsia"/>
        </w:rPr>
        <w:t>计算</w:t>
      </w:r>
      <w:r>
        <w:t>。</w:t>
      </w:r>
    </w:p>
  </w:footnote>
  <w:footnote w:id="3">
    <w:p>
      <w:pPr>
        <w:pStyle w:val="12"/>
        <w:ind w:firstLine="360"/>
      </w:pPr>
      <w:r>
        <w:rPr>
          <w:rStyle w:val="18"/>
        </w:rPr>
        <w:footnoteRef/>
      </w:r>
      <w:r>
        <w:t xml:space="preserve"> </w:t>
      </w:r>
      <w:r>
        <w:rPr>
          <w:rFonts w:hint="eastAsia"/>
        </w:rPr>
        <w:t>高中阶段</w:t>
      </w:r>
      <w:r>
        <w:t>按每校60班</w:t>
      </w:r>
      <w:r>
        <w:rPr>
          <w:rFonts w:hint="eastAsia"/>
        </w:rPr>
        <w:t>，</w:t>
      </w:r>
      <w:r>
        <w:t>每班50人</w:t>
      </w:r>
      <w:r>
        <w:rPr>
          <w:rFonts w:hint="eastAsia"/>
        </w:rPr>
        <w:t>计算</w:t>
      </w:r>
      <w:r>
        <w:t>。</w:t>
      </w:r>
    </w:p>
  </w:footnote>
  <w:footnote w:id="4">
    <w:p>
      <w:pPr>
        <w:pStyle w:val="12"/>
        <w:ind w:firstLine="360"/>
      </w:pPr>
      <w:r>
        <w:rPr>
          <w:rStyle w:val="18"/>
        </w:rPr>
        <w:footnoteRef/>
      </w:r>
      <w:r>
        <w:t xml:space="preserve"> </w:t>
      </w:r>
      <w:r>
        <w:rPr>
          <w:rFonts w:hint="eastAsia"/>
        </w:rPr>
        <w:t>“麻雀学校”的认定，由各区按照规划和建设标准，结合实际教学情况确定。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7EA06"/>
    <w:multiLevelType w:val="singleLevel"/>
    <w:tmpl w:val="8B57EA06"/>
    <w:lvl w:ilvl="0" w:tentative="0">
      <w:start w:val="1"/>
      <w:numFmt w:val="decimal"/>
      <w:suff w:val="nothing"/>
      <w:lvlText w:val="%1．"/>
      <w:lvlJc w:val="left"/>
      <w:pPr>
        <w:ind w:left="0" w:firstLine="400"/>
      </w:pPr>
      <w:rPr>
        <w:rFonts w:hint="default"/>
      </w:rPr>
    </w:lvl>
  </w:abstractNum>
  <w:abstractNum w:abstractNumId="1">
    <w:nsid w:val="9BB7A8F4"/>
    <w:multiLevelType w:val="singleLevel"/>
    <w:tmpl w:val="9BB7A8F4"/>
    <w:lvl w:ilvl="0" w:tentative="0">
      <w:start w:val="1"/>
      <w:numFmt w:val="decimal"/>
      <w:suff w:val="nothing"/>
      <w:lvlText w:val="%1．"/>
      <w:lvlJc w:val="left"/>
      <w:pPr>
        <w:ind w:left="0" w:firstLine="400"/>
      </w:pPr>
      <w:rPr>
        <w:rFonts w:hint="default"/>
      </w:rPr>
    </w:lvl>
  </w:abstractNum>
  <w:abstractNum w:abstractNumId="2">
    <w:nsid w:val="ACAD5FAD"/>
    <w:multiLevelType w:val="singleLevel"/>
    <w:tmpl w:val="ACAD5FAD"/>
    <w:lvl w:ilvl="0" w:tentative="0">
      <w:start w:val="1"/>
      <w:numFmt w:val="decimal"/>
      <w:suff w:val="nothing"/>
      <w:lvlText w:val="%1．"/>
      <w:lvlJc w:val="left"/>
      <w:pPr>
        <w:ind w:left="0" w:firstLine="400"/>
      </w:pPr>
      <w:rPr>
        <w:rFonts w:hint="default"/>
      </w:rPr>
    </w:lvl>
  </w:abstractNum>
  <w:abstractNum w:abstractNumId="3">
    <w:nsid w:val="E3A8316E"/>
    <w:multiLevelType w:val="multilevel"/>
    <w:tmpl w:val="E3A8316E"/>
    <w:lvl w:ilvl="0" w:tentative="0">
      <w:start w:val="1"/>
      <w:numFmt w:val="chineseCountingThousand"/>
      <w:pStyle w:val="3"/>
      <w:lvlText w:val="%1、"/>
      <w:lvlJc w:val="left"/>
      <w:pPr>
        <w:ind w:left="420" w:hanging="420"/>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ED4DC5E2"/>
    <w:multiLevelType w:val="singleLevel"/>
    <w:tmpl w:val="ED4DC5E2"/>
    <w:lvl w:ilvl="0" w:tentative="0">
      <w:start w:val="1"/>
      <w:numFmt w:val="decimal"/>
      <w:suff w:val="nothing"/>
      <w:lvlText w:val="%1．"/>
      <w:lvlJc w:val="left"/>
      <w:pPr>
        <w:ind w:left="0" w:firstLine="400"/>
      </w:pPr>
      <w:rPr>
        <w:rFonts w:hint="default"/>
      </w:rPr>
    </w:lvl>
  </w:abstractNum>
  <w:abstractNum w:abstractNumId="5">
    <w:nsid w:val="FCF358BC"/>
    <w:multiLevelType w:val="singleLevel"/>
    <w:tmpl w:val="FCF358BC"/>
    <w:lvl w:ilvl="0" w:tentative="0">
      <w:start w:val="1"/>
      <w:numFmt w:val="decimal"/>
      <w:suff w:val="nothing"/>
      <w:lvlText w:val="%1．"/>
      <w:lvlJc w:val="left"/>
      <w:pPr>
        <w:ind w:left="0" w:firstLine="400"/>
      </w:pPr>
      <w:rPr>
        <w:rFonts w:hint="default"/>
      </w:rPr>
    </w:lvl>
  </w:abstractNum>
  <w:abstractNum w:abstractNumId="6">
    <w:nsid w:val="1771965E"/>
    <w:multiLevelType w:val="singleLevel"/>
    <w:tmpl w:val="1771965E"/>
    <w:lvl w:ilvl="0" w:tentative="0">
      <w:start w:val="1"/>
      <w:numFmt w:val="decimal"/>
      <w:suff w:val="nothing"/>
      <w:lvlText w:val="%1．"/>
      <w:lvlJc w:val="left"/>
      <w:pPr>
        <w:ind w:left="0" w:firstLine="400"/>
      </w:pPr>
      <w:rPr>
        <w:rFonts w:hint="default"/>
      </w:rPr>
    </w:lvl>
  </w:abstractNum>
  <w:abstractNum w:abstractNumId="7">
    <w:nsid w:val="1D6608CE"/>
    <w:multiLevelType w:val="singleLevel"/>
    <w:tmpl w:val="1D6608CE"/>
    <w:lvl w:ilvl="0" w:tentative="0">
      <w:start w:val="1"/>
      <w:numFmt w:val="decimal"/>
      <w:suff w:val="nothing"/>
      <w:lvlText w:val="%1．"/>
      <w:lvlJc w:val="left"/>
      <w:pPr>
        <w:ind w:left="0" w:firstLine="400"/>
      </w:pPr>
      <w:rPr>
        <w:rFonts w:hint="default"/>
      </w:rPr>
    </w:lvl>
  </w:abstractNum>
  <w:abstractNum w:abstractNumId="8">
    <w:nsid w:val="27B86DDD"/>
    <w:multiLevelType w:val="singleLevel"/>
    <w:tmpl w:val="27B86DDD"/>
    <w:lvl w:ilvl="0" w:tentative="0">
      <w:start w:val="1"/>
      <w:numFmt w:val="decimal"/>
      <w:suff w:val="nothing"/>
      <w:lvlText w:val="%1．"/>
      <w:lvlJc w:val="left"/>
      <w:pPr>
        <w:ind w:left="0" w:firstLine="400"/>
      </w:pPr>
      <w:rPr>
        <w:rFonts w:hint="default"/>
      </w:rPr>
    </w:lvl>
  </w:abstractNum>
  <w:abstractNum w:abstractNumId="9">
    <w:nsid w:val="2D760942"/>
    <w:multiLevelType w:val="singleLevel"/>
    <w:tmpl w:val="2D760942"/>
    <w:lvl w:ilvl="0" w:tentative="0">
      <w:start w:val="1"/>
      <w:numFmt w:val="decimal"/>
      <w:suff w:val="nothing"/>
      <w:lvlText w:val="%1．"/>
      <w:lvlJc w:val="left"/>
      <w:pPr>
        <w:ind w:left="0" w:firstLine="400"/>
      </w:pPr>
      <w:rPr>
        <w:rFonts w:hint="default"/>
      </w:rPr>
    </w:lvl>
  </w:abstractNum>
  <w:abstractNum w:abstractNumId="10">
    <w:nsid w:val="35DBF2D6"/>
    <w:multiLevelType w:val="singleLevel"/>
    <w:tmpl w:val="35DBF2D6"/>
    <w:lvl w:ilvl="0" w:tentative="0">
      <w:start w:val="1"/>
      <w:numFmt w:val="decimal"/>
      <w:suff w:val="nothing"/>
      <w:lvlText w:val="%1．"/>
      <w:lvlJc w:val="left"/>
      <w:pPr>
        <w:ind w:left="0" w:firstLine="400"/>
      </w:pPr>
      <w:rPr>
        <w:rFonts w:hint="default"/>
      </w:rPr>
    </w:lvl>
  </w:abstractNum>
  <w:abstractNum w:abstractNumId="11">
    <w:nsid w:val="41D36DAE"/>
    <w:multiLevelType w:val="multilevel"/>
    <w:tmpl w:val="41D36DAE"/>
    <w:lvl w:ilvl="0" w:tentative="0">
      <w:start w:val="1"/>
      <w:numFmt w:val="chineseCountingThousand"/>
      <w:pStyle w:val="4"/>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7A07BE4"/>
    <w:multiLevelType w:val="multilevel"/>
    <w:tmpl w:val="47A07BE4"/>
    <w:lvl w:ilvl="0" w:tentative="0">
      <w:start w:val="1"/>
      <w:numFmt w:val="decimal"/>
      <w:pStyle w:val="8"/>
      <w:lvlText w:val="表%1"/>
      <w:lvlJc w:val="left"/>
      <w:pPr>
        <w:ind w:left="420" w:hanging="420"/>
      </w:pPr>
      <w:rPr>
        <w:rFonts w:hint="eastAsia" w:ascii="仿宋_GB2312" w:hAnsi="宋体" w:eastAsia="仿宋_GB2312" w:cs="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A313D9A"/>
    <w:multiLevelType w:val="singleLevel"/>
    <w:tmpl w:val="4A313D9A"/>
    <w:lvl w:ilvl="0" w:tentative="0">
      <w:start w:val="1"/>
      <w:numFmt w:val="decimal"/>
      <w:suff w:val="nothing"/>
      <w:lvlText w:val="%1．"/>
      <w:lvlJc w:val="left"/>
      <w:pPr>
        <w:ind w:left="0" w:firstLine="400"/>
      </w:pPr>
      <w:rPr>
        <w:rFonts w:hint="default"/>
      </w:rPr>
    </w:lvl>
  </w:abstractNum>
  <w:abstractNum w:abstractNumId="14">
    <w:nsid w:val="582C6A5A"/>
    <w:multiLevelType w:val="singleLevel"/>
    <w:tmpl w:val="582C6A5A"/>
    <w:lvl w:ilvl="0" w:tentative="0">
      <w:start w:val="1"/>
      <w:numFmt w:val="decimal"/>
      <w:suff w:val="nothing"/>
      <w:lvlText w:val="%1．"/>
      <w:lvlJc w:val="left"/>
      <w:pPr>
        <w:ind w:left="0" w:firstLine="400"/>
      </w:pPr>
      <w:rPr>
        <w:rFonts w:hint="default"/>
      </w:rPr>
    </w:lvl>
  </w:abstractNum>
  <w:abstractNum w:abstractNumId="15">
    <w:nsid w:val="5F7BB05F"/>
    <w:multiLevelType w:val="singleLevel"/>
    <w:tmpl w:val="5F7BB05F"/>
    <w:lvl w:ilvl="0" w:tentative="0">
      <w:start w:val="1"/>
      <w:numFmt w:val="decimal"/>
      <w:suff w:val="nothing"/>
      <w:lvlText w:val="%1．"/>
      <w:lvlJc w:val="left"/>
      <w:pPr>
        <w:ind w:left="0" w:firstLine="400"/>
      </w:pPr>
      <w:rPr>
        <w:rFonts w:hint="default"/>
      </w:rPr>
    </w:lvl>
  </w:abstractNum>
  <w:abstractNum w:abstractNumId="16">
    <w:nsid w:val="61DB5CB5"/>
    <w:multiLevelType w:val="singleLevel"/>
    <w:tmpl w:val="61DB5CB5"/>
    <w:lvl w:ilvl="0" w:tentative="0">
      <w:start w:val="1"/>
      <w:numFmt w:val="decimal"/>
      <w:suff w:val="nothing"/>
      <w:lvlText w:val="%1．"/>
      <w:lvlJc w:val="left"/>
      <w:pPr>
        <w:ind w:left="0" w:firstLine="400"/>
      </w:pPr>
      <w:rPr>
        <w:rFonts w:hint="default"/>
      </w:rPr>
    </w:lvl>
  </w:abstractNum>
  <w:abstractNum w:abstractNumId="17">
    <w:nsid w:val="68AEB241"/>
    <w:multiLevelType w:val="singleLevel"/>
    <w:tmpl w:val="68AEB241"/>
    <w:lvl w:ilvl="0" w:tentative="0">
      <w:start w:val="1"/>
      <w:numFmt w:val="decimal"/>
      <w:suff w:val="nothing"/>
      <w:lvlText w:val="%1．"/>
      <w:lvlJc w:val="left"/>
      <w:pPr>
        <w:ind w:left="0" w:firstLine="400"/>
      </w:pPr>
      <w:rPr>
        <w:rFonts w:hint="default"/>
      </w:rPr>
    </w:lvl>
  </w:abstractNum>
  <w:abstractNum w:abstractNumId="18">
    <w:nsid w:val="729C5486"/>
    <w:multiLevelType w:val="singleLevel"/>
    <w:tmpl w:val="729C5486"/>
    <w:lvl w:ilvl="0" w:tentative="0">
      <w:start w:val="1"/>
      <w:numFmt w:val="decimal"/>
      <w:suff w:val="nothing"/>
      <w:lvlText w:val="%1．"/>
      <w:lvlJc w:val="left"/>
      <w:pPr>
        <w:ind w:left="0" w:firstLine="400"/>
      </w:pPr>
      <w:rPr>
        <w:rFonts w:hint="default"/>
      </w:rPr>
    </w:lvl>
  </w:abstractNum>
  <w:num w:numId="1">
    <w:abstractNumId w:val="3"/>
  </w:num>
  <w:num w:numId="2">
    <w:abstractNumId w:val="11"/>
  </w:num>
  <w:num w:numId="3">
    <w:abstractNumId w:val="12"/>
  </w:num>
  <w:num w:numId="4">
    <w:abstractNumId w:val="6"/>
  </w:num>
  <w:num w:numId="5">
    <w:abstractNumId w:val="18"/>
  </w:num>
  <w:num w:numId="6">
    <w:abstractNumId w:val="16"/>
  </w:num>
  <w:num w:numId="7">
    <w:abstractNumId w:val="17"/>
  </w:num>
  <w:num w:numId="8">
    <w:abstractNumId w:val="13"/>
  </w:num>
  <w:num w:numId="9">
    <w:abstractNumId w:val="2"/>
  </w:num>
  <w:num w:numId="10">
    <w:abstractNumId w:val="1"/>
  </w:num>
  <w:num w:numId="11">
    <w:abstractNumId w:val="15"/>
  </w:num>
  <w:num w:numId="12">
    <w:abstractNumId w:val="9"/>
  </w:num>
  <w:num w:numId="13">
    <w:abstractNumId w:val="7"/>
  </w:num>
  <w:num w:numId="14">
    <w:abstractNumId w:val="8"/>
  </w:num>
  <w:num w:numId="15">
    <w:abstractNumId w:val="10"/>
  </w:num>
  <w:num w:numId="16">
    <w:abstractNumId w:val="5"/>
  </w:num>
  <w:num w:numId="17">
    <w:abstractNumId w:val="4"/>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footnotePr>
    <w:footnote w:id="10"/>
    <w:footnote w:id="1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hZjk3ZDFiNmM2MDgwMTQ3MzEyZTJjMzQ3MmYzYzQifQ=="/>
  </w:docVars>
  <w:rsids>
    <w:rsidRoot w:val="004E62AD"/>
    <w:rsid w:val="00004E43"/>
    <w:rsid w:val="00013D0E"/>
    <w:rsid w:val="0003486F"/>
    <w:rsid w:val="000E3EE1"/>
    <w:rsid w:val="00116CF6"/>
    <w:rsid w:val="00123980"/>
    <w:rsid w:val="00132440"/>
    <w:rsid w:val="001964E7"/>
    <w:rsid w:val="001A3FE4"/>
    <w:rsid w:val="001B5133"/>
    <w:rsid w:val="00205652"/>
    <w:rsid w:val="002105C4"/>
    <w:rsid w:val="00217EEB"/>
    <w:rsid w:val="00237628"/>
    <w:rsid w:val="002B726D"/>
    <w:rsid w:val="00314940"/>
    <w:rsid w:val="003328E9"/>
    <w:rsid w:val="00375AFC"/>
    <w:rsid w:val="003D311D"/>
    <w:rsid w:val="003D4411"/>
    <w:rsid w:val="004023DB"/>
    <w:rsid w:val="004A0755"/>
    <w:rsid w:val="004E62AD"/>
    <w:rsid w:val="00543819"/>
    <w:rsid w:val="00553D41"/>
    <w:rsid w:val="005541D4"/>
    <w:rsid w:val="006934CB"/>
    <w:rsid w:val="006D0DD4"/>
    <w:rsid w:val="007A3834"/>
    <w:rsid w:val="00925AE1"/>
    <w:rsid w:val="0094508A"/>
    <w:rsid w:val="0095322D"/>
    <w:rsid w:val="009E6B3A"/>
    <w:rsid w:val="00B45C40"/>
    <w:rsid w:val="00C57239"/>
    <w:rsid w:val="00C707A3"/>
    <w:rsid w:val="00C75EB7"/>
    <w:rsid w:val="00CC403E"/>
    <w:rsid w:val="00CD6AB8"/>
    <w:rsid w:val="00D05071"/>
    <w:rsid w:val="00D674FC"/>
    <w:rsid w:val="00D76BA1"/>
    <w:rsid w:val="00D84CEC"/>
    <w:rsid w:val="00DD5826"/>
    <w:rsid w:val="00E071E6"/>
    <w:rsid w:val="00E16652"/>
    <w:rsid w:val="00E434AF"/>
    <w:rsid w:val="00EB562A"/>
    <w:rsid w:val="00EF04B5"/>
    <w:rsid w:val="00F40C4B"/>
    <w:rsid w:val="00FF48B8"/>
    <w:rsid w:val="14976FD2"/>
    <w:rsid w:val="1F9E78FF"/>
    <w:rsid w:val="37AC7818"/>
    <w:rsid w:val="4FB022E6"/>
    <w:rsid w:val="524651F0"/>
    <w:rsid w:val="5C274F2B"/>
    <w:rsid w:val="669257FC"/>
    <w:rsid w:val="6C602CDD"/>
    <w:rsid w:val="7002301A"/>
    <w:rsid w:val="72813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仿宋_GB2312" w:eastAsia="仿宋_GB2312" w:cs="仿宋_GB2312"/>
      <w:kern w:val="2"/>
      <w:sz w:val="32"/>
      <w:szCs w:val="22"/>
      <w:lang w:val="en-US" w:eastAsia="zh-CN" w:bidi="ar-SA"/>
    </w:rPr>
  </w:style>
  <w:style w:type="paragraph" w:styleId="2">
    <w:name w:val="heading 1"/>
    <w:basedOn w:val="1"/>
    <w:next w:val="1"/>
    <w:link w:val="38"/>
    <w:qFormat/>
    <w:uiPriority w:val="9"/>
    <w:pPr>
      <w:keepNext/>
      <w:keepLines/>
      <w:spacing w:line="660" w:lineRule="exact"/>
      <w:ind w:firstLine="0" w:firstLineChars="0"/>
      <w:jc w:val="center"/>
      <w:outlineLvl w:val="0"/>
    </w:pPr>
    <w:rPr>
      <w:rFonts w:ascii="方正小标宋简体" w:hAnsi="方正小标宋简体" w:eastAsia="方正小标宋简体" w:cs="方正小标宋简体"/>
      <w:bCs/>
      <w:kern w:val="44"/>
      <w:sz w:val="44"/>
      <w:szCs w:val="44"/>
    </w:rPr>
  </w:style>
  <w:style w:type="paragraph" w:styleId="3">
    <w:name w:val="heading 2"/>
    <w:basedOn w:val="1"/>
    <w:next w:val="1"/>
    <w:link w:val="21"/>
    <w:unhideWhenUsed/>
    <w:qFormat/>
    <w:uiPriority w:val="9"/>
    <w:pPr>
      <w:keepLines/>
      <w:numPr>
        <w:ilvl w:val="0"/>
        <w:numId w:val="1"/>
      </w:numPr>
      <w:ind w:left="0" w:firstLine="0" w:firstLineChars="0"/>
      <w:jc w:val="left"/>
      <w:outlineLvl w:val="1"/>
    </w:pPr>
    <w:rPr>
      <w:rFonts w:ascii="黑体" w:hAnsi="黑体" w:eastAsia="黑体" w:cs="黑体"/>
      <w:b/>
      <w:szCs w:val="32"/>
    </w:rPr>
  </w:style>
  <w:style w:type="paragraph" w:styleId="4">
    <w:name w:val="heading 3"/>
    <w:basedOn w:val="1"/>
    <w:next w:val="1"/>
    <w:link w:val="39"/>
    <w:unhideWhenUsed/>
    <w:qFormat/>
    <w:uiPriority w:val="9"/>
    <w:pPr>
      <w:keepLines/>
      <w:numPr>
        <w:ilvl w:val="0"/>
        <w:numId w:val="2"/>
      </w:numPr>
      <w:ind w:left="0" w:firstLine="200"/>
      <w:outlineLvl w:val="2"/>
    </w:pPr>
    <w:rPr>
      <w:rFonts w:ascii="楷体" w:hAnsi="楷体" w:eastAsia="楷体" w:cs="楷体"/>
      <w:b/>
      <w:bCs/>
      <w:szCs w:val="32"/>
    </w:rPr>
  </w:style>
  <w:style w:type="paragraph" w:styleId="5">
    <w:name w:val="heading 4"/>
    <w:basedOn w:val="1"/>
    <w:next w:val="1"/>
    <w:link w:val="40"/>
    <w:unhideWhenUsed/>
    <w:qFormat/>
    <w:uiPriority w:val="9"/>
    <w:pPr>
      <w:keepLines/>
      <w:ind w:firstLine="880"/>
      <w:outlineLvl w:val="3"/>
    </w:pPr>
    <w:rPr>
      <w:bCs/>
      <w:szCs w:val="32"/>
    </w:rPr>
  </w:style>
  <w:style w:type="paragraph" w:styleId="6">
    <w:name w:val="heading 5"/>
    <w:basedOn w:val="1"/>
    <w:next w:val="1"/>
    <w:unhideWhenUsed/>
    <w:qFormat/>
    <w:uiPriority w:val="9"/>
    <w:pPr>
      <w:keepNext/>
      <w:keepLines/>
      <w:jc w:val="left"/>
      <w:outlineLvl w:val="4"/>
    </w:p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5"/>
    <w:semiHidden/>
    <w:unhideWhenUsed/>
    <w:qFormat/>
    <w:uiPriority w:val="99"/>
    <w:pPr>
      <w:jc w:val="left"/>
    </w:pPr>
  </w:style>
  <w:style w:type="paragraph" w:styleId="8">
    <w:name w:val="endnote text"/>
    <w:basedOn w:val="1"/>
    <w:link w:val="24"/>
    <w:unhideWhenUsed/>
    <w:qFormat/>
    <w:uiPriority w:val="99"/>
    <w:pPr>
      <w:numPr>
        <w:ilvl w:val="0"/>
        <w:numId w:val="3"/>
      </w:numPr>
      <w:snapToGrid w:val="0"/>
      <w:ind w:left="0" w:firstLine="0" w:firstLineChars="0"/>
      <w:jc w:val="center"/>
    </w:pPr>
    <w:rPr>
      <w:sz w:val="28"/>
      <w:szCs w:val="28"/>
    </w:rPr>
  </w:style>
  <w:style w:type="paragraph" w:styleId="9">
    <w:name w:val="Balloon Text"/>
    <w:basedOn w:val="1"/>
    <w:link w:val="27"/>
    <w:semiHidden/>
    <w:unhideWhenUsed/>
    <w:qFormat/>
    <w:uiPriority w:val="99"/>
    <w:rPr>
      <w:sz w:val="18"/>
      <w:szCs w:val="18"/>
    </w:rPr>
  </w:style>
  <w:style w:type="paragraph" w:styleId="10">
    <w:name w:val="footer"/>
    <w:basedOn w:val="1"/>
    <w:link w:val="37"/>
    <w:unhideWhenUsed/>
    <w:qFormat/>
    <w:uiPriority w:val="99"/>
    <w:pPr>
      <w:tabs>
        <w:tab w:val="center" w:pos="4153"/>
        <w:tab w:val="right" w:pos="8306"/>
      </w:tabs>
      <w:snapToGrid w:val="0"/>
      <w:jc w:val="left"/>
    </w:pPr>
    <w:rPr>
      <w:sz w:val="18"/>
      <w:szCs w:val="18"/>
    </w:rPr>
  </w:style>
  <w:style w:type="paragraph" w:styleId="11">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link w:val="28"/>
    <w:unhideWhenUsed/>
    <w:qFormat/>
    <w:uiPriority w:val="99"/>
    <w:pPr>
      <w:snapToGrid w:val="0"/>
      <w:spacing w:line="400" w:lineRule="exact"/>
      <w:ind w:firstLine="0" w:firstLineChars="0"/>
      <w:jc w:val="left"/>
    </w:pPr>
    <w:rPr>
      <w:sz w:val="21"/>
      <w:szCs w:val="21"/>
    </w:rPr>
  </w:style>
  <w:style w:type="paragraph" w:styleId="13">
    <w:name w:val="annotation subject"/>
    <w:basedOn w:val="7"/>
    <w:next w:val="7"/>
    <w:link w:val="26"/>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semiHidden/>
    <w:unhideWhenUsed/>
    <w:qFormat/>
    <w:uiPriority w:val="99"/>
    <w:rPr>
      <w:sz w:val="21"/>
      <w:szCs w:val="21"/>
    </w:rPr>
  </w:style>
  <w:style w:type="character" w:styleId="18">
    <w:name w:val="footnote reference"/>
    <w:basedOn w:val="16"/>
    <w:unhideWhenUsed/>
    <w:qFormat/>
    <w:uiPriority w:val="99"/>
    <w:rPr>
      <w:vertAlign w:val="superscript"/>
    </w:rPr>
  </w:style>
  <w:style w:type="paragraph" w:customStyle="1" w:styleId="19">
    <w:name w:val="00正文"/>
    <w:link w:val="20"/>
    <w:qFormat/>
    <w:uiPriority w:val="99"/>
    <w:pPr>
      <w:spacing w:line="560" w:lineRule="exact"/>
      <w:ind w:firstLine="200" w:firstLineChars="200"/>
      <w:jc w:val="both"/>
    </w:pPr>
    <w:rPr>
      <w:rFonts w:ascii="仿宋_GB2312" w:hAnsi="仿宋_GB2312" w:eastAsia="仿宋_GB2312" w:cs="仿宋_GB2312"/>
      <w:bCs/>
      <w:kern w:val="44"/>
      <w:sz w:val="24"/>
      <w:szCs w:val="24"/>
      <w:lang w:val="en-US" w:eastAsia="zh-CN" w:bidi="ar-SA"/>
    </w:rPr>
  </w:style>
  <w:style w:type="character" w:customStyle="1" w:styleId="20">
    <w:name w:val="00正文 Char"/>
    <w:link w:val="19"/>
    <w:qFormat/>
    <w:uiPriority w:val="99"/>
    <w:rPr>
      <w:rFonts w:ascii="仿宋_GB2312" w:hAnsi="仿宋_GB2312" w:eastAsia="仿宋_GB2312" w:cs="仿宋_GB2312"/>
      <w:bCs/>
      <w:kern w:val="44"/>
      <w:sz w:val="24"/>
      <w:szCs w:val="24"/>
    </w:rPr>
  </w:style>
  <w:style w:type="character" w:customStyle="1" w:styleId="21">
    <w:name w:val="标题 2 字符"/>
    <w:basedOn w:val="16"/>
    <w:link w:val="3"/>
    <w:qFormat/>
    <w:uiPriority w:val="9"/>
    <w:rPr>
      <w:rFonts w:ascii="黑体" w:hAnsi="黑体" w:eastAsia="黑体" w:cs="黑体"/>
      <w:b/>
      <w:kern w:val="2"/>
      <w:sz w:val="32"/>
      <w:szCs w:val="32"/>
    </w:rPr>
  </w:style>
  <w:style w:type="paragraph" w:styleId="22">
    <w:name w:val="List Paragraph"/>
    <w:basedOn w:val="1"/>
    <w:link w:val="23"/>
    <w:qFormat/>
    <w:uiPriority w:val="34"/>
    <w:pPr>
      <w:ind w:firstLine="420"/>
    </w:pPr>
    <w:rPr>
      <w:rFonts w:ascii="Times New Roman" w:hAnsi="Times New Roman"/>
      <w:sz w:val="24"/>
      <w:szCs w:val="24"/>
    </w:rPr>
  </w:style>
  <w:style w:type="character" w:customStyle="1" w:styleId="23">
    <w:name w:val="列表段落 字符"/>
    <w:basedOn w:val="16"/>
    <w:link w:val="22"/>
    <w:qFormat/>
    <w:uiPriority w:val="34"/>
    <w:rPr>
      <w:rFonts w:ascii="Times New Roman" w:hAnsi="Times New Roman" w:eastAsia="仿宋_GB2312"/>
      <w:sz w:val="24"/>
      <w:szCs w:val="24"/>
    </w:rPr>
  </w:style>
  <w:style w:type="character" w:customStyle="1" w:styleId="24">
    <w:name w:val="尾注文本 字符"/>
    <w:basedOn w:val="16"/>
    <w:link w:val="8"/>
    <w:qFormat/>
    <w:uiPriority w:val="99"/>
    <w:rPr>
      <w:rFonts w:ascii="仿宋_GB2312" w:hAnsi="仿宋_GB2312" w:eastAsia="仿宋_GB2312" w:cs="仿宋_GB2312"/>
      <w:kern w:val="2"/>
      <w:sz w:val="28"/>
      <w:szCs w:val="28"/>
    </w:rPr>
  </w:style>
  <w:style w:type="character" w:customStyle="1" w:styleId="25">
    <w:name w:val="批注文字 字符"/>
    <w:basedOn w:val="16"/>
    <w:link w:val="7"/>
    <w:semiHidden/>
    <w:qFormat/>
    <w:uiPriority w:val="99"/>
  </w:style>
  <w:style w:type="character" w:customStyle="1" w:styleId="26">
    <w:name w:val="批注主题 字符"/>
    <w:basedOn w:val="25"/>
    <w:link w:val="13"/>
    <w:semiHidden/>
    <w:qFormat/>
    <w:uiPriority w:val="99"/>
    <w:rPr>
      <w:b/>
      <w:bCs/>
    </w:rPr>
  </w:style>
  <w:style w:type="character" w:customStyle="1" w:styleId="27">
    <w:name w:val="批注框文本 字符"/>
    <w:basedOn w:val="16"/>
    <w:link w:val="9"/>
    <w:semiHidden/>
    <w:qFormat/>
    <w:uiPriority w:val="99"/>
    <w:rPr>
      <w:sz w:val="18"/>
      <w:szCs w:val="18"/>
    </w:rPr>
  </w:style>
  <w:style w:type="character" w:customStyle="1" w:styleId="28">
    <w:name w:val="脚注文本 字符"/>
    <w:basedOn w:val="16"/>
    <w:link w:val="12"/>
    <w:qFormat/>
    <w:uiPriority w:val="99"/>
    <w:rPr>
      <w:rFonts w:ascii="仿宋_GB2312" w:hAnsi="仿宋_GB2312" w:eastAsia="仿宋_GB2312" w:cs="仿宋_GB2312"/>
      <w:kern w:val="2"/>
      <w:sz w:val="21"/>
      <w:szCs w:val="21"/>
    </w:rPr>
  </w:style>
  <w:style w:type="table" w:customStyle="1" w:styleId="29">
    <w:name w:val="网格型13"/>
    <w:basedOn w:val="14"/>
    <w:unhideWhenUsed/>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网格型14"/>
    <w:basedOn w:val="14"/>
    <w:unhideWhenUsed/>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网格型15"/>
    <w:basedOn w:val="14"/>
    <w:unhideWhenUsed/>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
    <w:name w:val="表格内文字"/>
    <w:basedOn w:val="1"/>
    <w:link w:val="33"/>
    <w:qFormat/>
    <w:uiPriority w:val="0"/>
    <w:pPr>
      <w:jc w:val="center"/>
    </w:pPr>
    <w:rPr>
      <w:rFonts w:cstheme="minorBidi"/>
      <w:szCs w:val="21"/>
    </w:rPr>
  </w:style>
  <w:style w:type="character" w:customStyle="1" w:styleId="33">
    <w:name w:val="表格内文字 字符"/>
    <w:basedOn w:val="16"/>
    <w:link w:val="32"/>
    <w:qFormat/>
    <w:uiPriority w:val="0"/>
    <w:rPr>
      <w:rFonts w:ascii="仿宋_GB2312" w:hAnsi="仿宋_GB2312" w:eastAsia="仿宋_GB2312"/>
      <w:szCs w:val="21"/>
    </w:rPr>
  </w:style>
  <w:style w:type="paragraph" w:customStyle="1" w:styleId="34">
    <w:name w:val="图表"/>
    <w:basedOn w:val="1"/>
    <w:qFormat/>
    <w:uiPriority w:val="0"/>
    <w:pPr>
      <w:spacing w:line="400" w:lineRule="exact"/>
      <w:ind w:firstLine="0" w:firstLineChars="0"/>
      <w:jc w:val="center"/>
    </w:pPr>
    <w:rPr>
      <w:rFonts w:ascii="Times New Roman" w:hAnsi="Times New Roman" w:cstheme="minorBidi"/>
      <w:sz w:val="28"/>
      <w:szCs w:val="24"/>
    </w:rPr>
  </w:style>
  <w:style w:type="table" w:customStyle="1" w:styleId="35">
    <w:name w:val="网格型1"/>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页眉 字符"/>
    <w:basedOn w:val="16"/>
    <w:link w:val="11"/>
    <w:qFormat/>
    <w:uiPriority w:val="99"/>
    <w:rPr>
      <w:rFonts w:ascii="仿宋_GB2312" w:hAnsi="仿宋_GB2312" w:eastAsia="仿宋_GB2312" w:cs="仿宋_GB2312"/>
      <w:sz w:val="18"/>
      <w:szCs w:val="18"/>
    </w:rPr>
  </w:style>
  <w:style w:type="character" w:customStyle="1" w:styleId="37">
    <w:name w:val="页脚 字符"/>
    <w:basedOn w:val="16"/>
    <w:link w:val="10"/>
    <w:qFormat/>
    <w:uiPriority w:val="99"/>
    <w:rPr>
      <w:rFonts w:ascii="仿宋_GB2312" w:hAnsi="仿宋_GB2312" w:eastAsia="仿宋_GB2312" w:cs="仿宋_GB2312"/>
      <w:sz w:val="18"/>
      <w:szCs w:val="18"/>
    </w:rPr>
  </w:style>
  <w:style w:type="character" w:customStyle="1" w:styleId="38">
    <w:name w:val="标题 1 字符"/>
    <w:basedOn w:val="16"/>
    <w:link w:val="2"/>
    <w:uiPriority w:val="9"/>
    <w:rPr>
      <w:rFonts w:ascii="方正小标宋简体" w:hAnsi="方正小标宋简体" w:eastAsia="方正小标宋简体" w:cs="方正小标宋简体"/>
      <w:bCs/>
      <w:kern w:val="44"/>
      <w:sz w:val="44"/>
      <w:szCs w:val="44"/>
    </w:rPr>
  </w:style>
  <w:style w:type="character" w:customStyle="1" w:styleId="39">
    <w:name w:val="标题 3 字符"/>
    <w:basedOn w:val="16"/>
    <w:link w:val="4"/>
    <w:uiPriority w:val="9"/>
    <w:rPr>
      <w:rFonts w:ascii="楷体" w:hAnsi="楷体" w:eastAsia="楷体" w:cs="楷体"/>
      <w:b/>
      <w:bCs/>
      <w:kern w:val="2"/>
      <w:sz w:val="32"/>
      <w:szCs w:val="32"/>
    </w:rPr>
  </w:style>
  <w:style w:type="character" w:customStyle="1" w:styleId="40">
    <w:name w:val="标题 4 字符"/>
    <w:basedOn w:val="16"/>
    <w:link w:val="5"/>
    <w:qFormat/>
    <w:uiPriority w:val="9"/>
    <w:rPr>
      <w:rFonts w:ascii="仿宋_GB2312" w:hAnsi="仿宋_GB2312" w:eastAsia="仿宋_GB2312" w:cs="仿宋_GB2312"/>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10372</Words>
  <Characters>11106</Characters>
  <Lines>81</Lines>
  <Paragraphs>23</Paragraphs>
  <TotalTime>2</TotalTime>
  <ScaleCrop>false</ScaleCrop>
  <LinksUpToDate>false</LinksUpToDate>
  <CharactersWithSpaces>11142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2022-05-13T03:31:00Z</dcterms:created>
  <dc:creator>黄畅如</dc:creator>
  <cp:lastModifiedBy>Tiger Lulu </cp:lastModifiedBy>
  <dcterms:modified xsi:type="dcterms:W3CDTF">2024-06-12T03:15:02Z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B52CE08ED0D54192A6D83189EFECDAFF</vt:lpwstr>
  </property>
</Properties>
</file>