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440601-2024-02520</w:t>
      </w:r>
    </w:p>
    <w:p>
      <w:pPr>
        <w:pStyle w:val="null3"/>
        <w:jc w:val="center"/>
        <w:outlineLvl w:val="3"/>
      </w:pPr>
      <w:r>
        <w:rPr>
          <w:sz w:val="24"/>
          <w:b/>
        </w:rPr>
        <w:t>采购项目编号：</w:t>
      </w:r>
      <w:r>
        <w:rPr>
          <w:sz w:val="24"/>
          <w:b/>
        </w:rPr>
        <w:t>GDZH-CG-2024009</w:t>
      </w:r>
    </w:p>
    <w:p>
      <w:pPr>
        <w:pStyle w:val="null3"/>
        <w:jc w:val="center"/>
        <w:outlineLvl w:val="3"/>
      </w:pPr>
      <w:r>
        <w:rPr>
          <w:sz w:val="24"/>
          <w:b/>
        </w:rPr>
        <w:t>项目名称：</w:t>
      </w:r>
      <w:r>
        <w:rPr>
          <w:sz w:val="24"/>
          <w:b/>
        </w:rPr>
        <w:t>佛山市教育网站漏洞扫描服务（2024年-2026年）</w:t>
      </w:r>
    </w:p>
    <w:p>
      <w:pPr>
        <w:pStyle w:val="null3"/>
        <w:jc w:val="center"/>
        <w:outlineLvl w:val="3"/>
      </w:pPr>
      <w:r>
        <w:rPr>
          <w:sz w:val="24"/>
          <w:b/>
        </w:rPr>
        <w:t>采购人：</w:t>
      </w:r>
      <w:r>
        <w:rPr>
          <w:sz w:val="24"/>
          <w:b/>
        </w:rPr>
        <w:t>佛山市教育局</w:t>
      </w:r>
    </w:p>
    <w:p>
      <w:pPr>
        <w:pStyle w:val="null3"/>
        <w:jc w:val="center"/>
        <w:outlineLvl w:val="3"/>
      </w:pPr>
      <w:r>
        <w:rPr>
          <w:sz w:val="24"/>
          <w:b/>
        </w:rPr>
        <w:t>采购代理机构：</w:t>
      </w:r>
      <w:r>
        <w:rPr>
          <w:sz w:val="24"/>
          <w:b/>
        </w:rPr>
        <w:t>广东智鸿工程咨询有限公司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广东智鸿工程咨询有限公司</w:t>
      </w:r>
      <w:r>
        <w:rPr/>
        <w:t>受</w:t>
      </w:r>
      <w:r>
        <w:rPr/>
        <w:t>佛山市教育局</w:t>
      </w:r>
      <w:r>
        <w:rPr/>
        <w:t>的委托，采用</w:t>
      </w:r>
      <w:r>
        <w:rPr/>
        <w:t>竞争性磋商</w:t>
      </w:r>
      <w:r>
        <w:rPr/>
        <w:t>方式组织采购</w:t>
      </w:r>
      <w:r>
        <w:rPr/>
        <w:t>佛山市教育网站漏洞扫描服务（2024年-2026年）</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佛山市教育网站漏洞扫描服务（2024年-2026年）</w:t>
      </w:r>
    </w:p>
    <w:p>
      <w:pPr>
        <w:pStyle w:val="null3"/>
        <w:ind w:firstLine="480"/>
      </w:pPr>
      <w:r>
        <w:rPr/>
        <w:t>采购计划编号：</w:t>
      </w:r>
      <w:r>
        <w:rPr/>
        <w:t>440601-2024-02520</w:t>
      </w:r>
    </w:p>
    <w:p>
      <w:pPr>
        <w:pStyle w:val="null3"/>
        <w:ind w:firstLine="480"/>
      </w:pPr>
      <w:r>
        <w:rPr/>
        <w:t>采购项目编号：</w:t>
      </w:r>
      <w:r>
        <w:rPr/>
        <w:t>GDZH-CG-2024009</w:t>
      </w:r>
    </w:p>
    <w:p>
      <w:pPr>
        <w:pStyle w:val="null3"/>
        <w:ind w:firstLine="480"/>
      </w:pPr>
      <w:r>
        <w:rPr/>
        <w:t>采购方式：</w:t>
      </w:r>
      <w:r>
        <w:rPr/>
        <w:t>竞争性磋商</w:t>
      </w:r>
    </w:p>
    <w:p>
      <w:pPr>
        <w:pStyle w:val="null3"/>
        <w:ind w:firstLine="480"/>
      </w:pPr>
      <w:r>
        <w:rPr/>
        <w:t>预算金额：</w:t>
      </w:r>
      <w:r>
        <w:rPr/>
        <w:t>1,020,000.00</w:t>
      </w:r>
      <w:r>
        <w:rPr/>
        <w:t>元</w:t>
      </w:r>
    </w:p>
    <w:p>
      <w:pPr>
        <w:pStyle w:val="null3"/>
        <w:outlineLvl w:val="3"/>
      </w:pPr>
      <w:r>
        <w:rPr>
          <w:sz w:val="24"/>
          <w:b/>
        </w:rPr>
        <w:t>2.项目内容及需求情况（采购项目技术规格、参数及要求）</w:t>
      </w:r>
    </w:p>
    <w:p>
      <w:pPr>
        <w:pStyle w:val="null3"/>
      </w:pPr>
      <w:r>
        <w:rPr/>
        <w:t>采购包1(佛山市教育网站漏洞扫描服务（2024年-2026年）):</w:t>
      </w:r>
    </w:p>
    <w:p>
      <w:pPr>
        <w:pStyle w:val="null3"/>
      </w:pPr>
      <w:r>
        <w:rPr/>
        <w:t>采购包预算金额：1,020,000.00元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其他信息技术服务</w:t>
            </w:r>
          </w:p>
        </w:tc>
        <w:tc>
          <w:tcPr>
            <w:tcW w:type="dxa" w:w="2136"/>
          </w:tcPr>
          <w:p>
            <w:pPr>
              <w:pStyle w:val="null3"/>
            </w:pPr>
            <w:r>
              <w:rPr/>
              <w:t>教育网站漏洞扫描服务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合同履行期限：自合同签订之日起三年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w:t>
      </w:r>
    </w:p>
    <w:p>
      <w:pPr>
        <w:pStyle w:val="null3"/>
      </w:pPr>
      <w:r>
        <w:rPr/>
        <w:t>2）有依法缴纳税收和社会保障资金的良好记录：提供投标截止日前6个月内任意1个月依法缴纳税收和社会保障资金的相关材料或《政府采购供应商资格信用承诺函》。 如依法免税或不需要缴纳社会保障资金的， 提供相应证明材料。</w:t>
      </w:r>
    </w:p>
    <w:p>
      <w:pPr>
        <w:pStyle w:val="null3"/>
      </w:pPr>
      <w:r>
        <w:rPr/>
        <w:t>3）具有良好的商业信誉和健全的财务会计制度：供应商必须具有良好的商业信誉和健全的财务会计制度（提供2023年度由第三方会计师事务所出具的审计报告，能清晰显示第三方会计师事务所的印章，并能反映审计结论或提供投标截止日前6个月内任意1个月基本开户行出具的资信证明）或《政府采购供应商资格信用承诺函》）。</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5）参加采购活动前3年内，在经营活动中没有重大违法记录：参照投标（报价）函，《政府采购供应商资格信用承诺函》相关承诺格式内容。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采购包1（佛山市教育网站漏洞扫描服务（2024年-2026年））：</w:t>
      </w:r>
      <w:r>
        <w:rPr/>
        <w:t>参与的供应商（联合体）服务全部由符合政策要求的中小企业承接</w:t>
      </w:r>
    </w:p>
    <w:p>
      <w:pPr>
        <w:pStyle w:val="null3"/>
        <w:outlineLvl w:val="3"/>
      </w:pPr>
      <w:r>
        <w:rPr>
          <w:sz w:val="24"/>
          <w:b/>
        </w:rPr>
        <w:t>3.本项目特定的资格要求：</w:t>
      </w:r>
    </w:p>
    <w:p>
      <w:pPr>
        <w:pStyle w:val="null3"/>
      </w:pPr>
      <w:r>
        <w:rPr/>
        <w:t>采购包1（佛山市教育网站漏洞扫描服务（2024年-2026年））：</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3)本项目不接受联合体投标。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佛山市教育局</w:t>
      </w:r>
    </w:p>
    <w:p>
      <w:pPr>
        <w:pStyle w:val="null3"/>
        <w:ind w:firstLine="480"/>
      </w:pPr>
      <w:r>
        <w:rPr/>
        <w:t>地址：</w:t>
      </w:r>
      <w:r>
        <w:rPr/>
        <w:t>广东省佛山市同济西路9号</w:t>
      </w:r>
    </w:p>
    <w:p>
      <w:pPr>
        <w:pStyle w:val="null3"/>
        <w:ind w:firstLine="480"/>
      </w:pPr>
      <w:r>
        <w:rPr/>
        <w:t>联系方式：</w:t>
      </w:r>
      <w:r>
        <w:rPr/>
        <w:t>0757-83030383</w:t>
      </w:r>
    </w:p>
    <w:p>
      <w:pPr>
        <w:pStyle w:val="null3"/>
        <w:outlineLvl w:val="3"/>
      </w:pPr>
      <w:r>
        <w:rPr>
          <w:sz w:val="24"/>
          <w:b/>
        </w:rPr>
        <w:t>2.采购代理机构信息</w:t>
      </w:r>
    </w:p>
    <w:p>
      <w:pPr>
        <w:pStyle w:val="null3"/>
        <w:ind w:firstLine="480"/>
      </w:pPr>
      <w:r>
        <w:rPr/>
        <w:t>名称：</w:t>
      </w:r>
      <w:r>
        <w:rPr/>
        <w:t>广东智鸿工程咨询有限公司</w:t>
      </w:r>
    </w:p>
    <w:p>
      <w:pPr>
        <w:pStyle w:val="null3"/>
        <w:ind w:firstLine="480"/>
      </w:pPr>
      <w:r>
        <w:rPr/>
        <w:t xml:space="preserve"> 地址：</w:t>
      </w:r>
      <w:r>
        <w:rPr/>
        <w:t>广东省佛山市禅城区季华一路智慧新城T1栋0603室</w:t>
      </w:r>
    </w:p>
    <w:p>
      <w:pPr>
        <w:pStyle w:val="null3"/>
        <w:ind w:firstLine="480"/>
      </w:pPr>
      <w:r>
        <w:rPr/>
        <w:t xml:space="preserve"> 联系方式：</w:t>
      </w:r>
      <w:r>
        <w:rPr/>
        <w:t>0757-82131230</w:t>
      </w:r>
    </w:p>
    <w:p>
      <w:pPr>
        <w:pStyle w:val="null3"/>
        <w:outlineLvl w:val="3"/>
      </w:pPr>
      <w:r>
        <w:rPr>
          <w:sz w:val="24"/>
          <w:b/>
        </w:rPr>
        <w:t xml:space="preserve"> 3.项目联系方式</w:t>
      </w:r>
    </w:p>
    <w:p>
      <w:pPr>
        <w:pStyle w:val="null3"/>
        <w:ind w:firstLine="480"/>
      </w:pPr>
      <w:r>
        <w:rPr/>
        <w:t xml:space="preserve"> 项目联系人：</w:t>
      </w:r>
      <w:r>
        <w:rPr/>
        <w:t>广东智鸿工程咨询有限公司</w:t>
      </w:r>
    </w:p>
    <w:p>
      <w:pPr>
        <w:pStyle w:val="null3"/>
        <w:ind w:firstLine="480"/>
      </w:pPr>
      <w:r>
        <w:rPr/>
        <w:t xml:space="preserve"> 电话：</w:t>
      </w:r>
      <w:r>
        <w:rPr/>
        <w:t>0757-82131230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广东智鸿工程咨询有限公司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1、网站常规漏洞扫描</w:t>
      </w:r>
    </w:p>
    <w:p>
      <w:pPr>
        <w:pStyle w:val="null3"/>
        <w:spacing w:before="150" w:after="150"/>
        <w:ind w:firstLine="560"/>
        <w:jc w:val="both"/>
      </w:pPr>
      <w:r>
        <w:rPr>
          <w:sz w:val="24"/>
          <w:color w:val="000000"/>
        </w:rPr>
        <w:t>对佛山市、区教育局及学校的门户网站合共658个进行漏洞扫描</w:t>
      </w:r>
      <w:r>
        <w:rPr>
          <w:sz w:val="24"/>
          <w:color w:val="000000"/>
        </w:rPr>
        <w:t>，</w:t>
      </w:r>
      <w:r>
        <w:rPr>
          <w:sz w:val="24"/>
        </w:rPr>
        <w:t>扫描频率为每半年一次，每年出具2次漏洞扫描报告。</w:t>
      </w:r>
    </w:p>
    <w:p>
      <w:pPr>
        <w:pStyle w:val="null3"/>
        <w:spacing w:before="150" w:after="150"/>
        <w:ind w:firstLine="560"/>
        <w:jc w:val="both"/>
      </w:pPr>
      <w:r>
        <w:rPr>
          <w:sz w:val="24"/>
        </w:rPr>
        <w:t>2、网站常规渗透测试</w:t>
      </w:r>
    </w:p>
    <w:p>
      <w:pPr>
        <w:pStyle w:val="null3"/>
        <w:spacing w:before="150" w:after="150"/>
        <w:ind w:left="570"/>
        <w:jc w:val="both"/>
        <w:outlineLvl w:val="1"/>
      </w:pPr>
      <w:r>
        <w:rPr>
          <w:sz w:val="24"/>
          <w:b/>
          <w:color w:val="000000"/>
        </w:rPr>
        <w:t>对佛山市教育局、下属五区教育局及佛山市教育局直管的四所学校门户网站进行渗透测试，频率为每年一次，并出具详细的渗透测试报告。</w:t>
      </w:r>
    </w:p>
    <w:p>
      <w:pPr>
        <w:pStyle w:val="null3"/>
      </w:pPr>
      <w:r>
        <w:rPr/>
        <w:t>采购包1（佛山市教育网站漏洞扫描服务（2024年-2026年））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自合同签订之日起三年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1期：支付比例33.34%, 按成交金额平均三年，得出每年合同金额。 自合同签订后，服务期满2个月，凭成交供应商开具的有效发票，通过银行转帐的方式，采购人于30个工作日内支付该年度金额的100%；</w:t>
            </w:r>
          </w:p>
          <w:p>
            <w:pPr>
              <w:pStyle w:val="null3"/>
            </w:pPr>
            <w:r>
              <w:rPr/>
              <w:t>2期：支付比例33.33%,第二年，当成交供应商提交第一年详细漏洞扫描报告(附安全加固修复解决方案)及详细渗透测试报告(附安全加固修复解决方案)后经采购人确认，凭成交供应商开具的有效发票，通过银行转帐的方式，采购人于30个工作日内支付该年度金额的100%；</w:t>
            </w:r>
          </w:p>
          <w:p>
            <w:pPr>
              <w:pStyle w:val="null3"/>
            </w:pPr>
            <w:r>
              <w:rPr/>
              <w:t>3期：支付比例33.33%,第三年，当成交供应商提交第二年详细漏洞扫描报告(附安全加固修复解决方案)及详细渗透测试报告(附安全加固修复解决方案)后经采购人确认，凭成交供应商开具的有效发票，通过银行转帐的方式，采购人于30个工作日内支付该年度金额的100%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1期：1.项目验收依次序对照执行标准： （1）符合中华人民共和国国家和履约地相关安全质量标准、行业技术规范标准、环保节能标准； （2）符合磋商文件和响应承诺中各方共同认可的合理最佳配置、参数规格及各项要求； 上述各类标准与法规必须是有关官方机构最新发布的现行标准版本。 2.验收要求： （1）成交供应商须为验收提供必需的一切条件及相关费用。 （2）经成交供应商提出验收申请，由成交供应商、采购人或相关部门共同验收并出具验收确认书。</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（1）报价不得高于本项目采购预算及最高限价。 （2）合同总额包括但不仅限于各项服务、人工（包括工资、福利、交通、食宿、通讯等）、工具使用、日常维护、项目验收专家评审费、各项税费及合同实施过程中的应预见和不可预见费用等完成合同规定责任和义务、达到合同目的的一切费用及企业利润。 （3）响应供应商必须自行考虑本项目在实施期间的一切可能产生的费用。在合同执行过程中，采购人将不再另行支付与本项目相关的任何费用（非本项目要求的其它内容除外）。</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知识产权和保密要求</w:t>
            </w:r>
          </w:p>
        </w:tc>
        <w:tc>
          <w:tcPr>
            <w:tcW w:type="dxa" w:w="2076"/>
          </w:tcPr>
          <w:p>
            <w:pPr>
              <w:pStyle w:val="null3"/>
              <w:jc w:val="left"/>
            </w:pPr>
            <w:r>
              <w:rPr/>
              <w:t>（1）项目实施过程中，成交供应商必须采用正版软件和工具软件，如因版权问题导致实施计划延误，或受到来自第三方关于侵犯专利权及其他知识产权的法律指控时，成交供应商须承担因此而引起的一切责任和费用。 （2）成交供应商必须如约承担合同履行时所应该尽的一切保密义务。成交供应商对采购人信息、项目实施过程中的资料、数据进行保密，未经采购人书面同意不得泄露给第三方，否则，采购人保留追究成交供应商法律责任的权利。保密责任不因合同的终止、中止或解除而失效。</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其他信息技术服务</w:t>
            </w:r>
          </w:p>
        </w:tc>
        <w:tc>
          <w:tcPr>
            <w:tcW w:type="dxa" w:w="933"/>
          </w:tcPr>
          <w:p>
            <w:pPr>
              <w:pStyle w:val="null3"/>
              <w:jc w:val="left"/>
            </w:pPr>
            <w:r>
              <w:rPr/>
              <w:t>教育网站漏洞扫描服务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1,020,000.00</w:t>
            </w:r>
          </w:p>
        </w:tc>
        <w:tc>
          <w:tcPr>
            <w:tcW w:type="dxa" w:w="933"/>
          </w:tcPr>
          <w:p>
            <w:pPr>
              <w:pStyle w:val="null3"/>
              <w:jc w:val="right"/>
            </w:pPr>
            <w:r>
              <w:rPr/>
              <w:t>1,020,000.00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教育网站漏洞扫描服务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before="150" w:after="150"/>
              <w:jc w:val="both"/>
            </w:pPr>
            <w:r>
              <w:rPr>
                <w:sz w:val="21"/>
              </w:rPr>
              <w:t>一、技术要求</w:t>
            </w:r>
            <w:r>
              <w:br/>
            </w:r>
            <w:r>
              <w:rPr>
                <w:sz w:val="21"/>
              </w:rPr>
              <w:t xml:space="preserve"> （一）网站常规漏洞扫描</w:t>
            </w:r>
            <w:r>
              <w:br/>
            </w:r>
            <w:r>
              <w:rPr>
                <w:sz w:val="21"/>
              </w:rPr>
              <w:t xml:space="preserve"> 网站常规漏洞扫描包括但不限于以下内容：</w:t>
            </w:r>
            <w:r>
              <w:br/>
            </w:r>
            <w:r>
              <w:rPr>
                <w:sz w:val="21"/>
              </w:rPr>
              <w:t xml:space="preserve"> 1.对探测到的设备、服务器进行安全评估测试，例如路由器、防火墙、开关和负载平衡器；</w:t>
            </w:r>
            <w:r>
              <w:br/>
            </w:r>
            <w:r>
              <w:rPr>
                <w:sz w:val="21"/>
              </w:rPr>
              <w:t xml:space="preserve"> 2.对常规协议的弱安全性密码进行测试，比如FTP，IMAP，数据库服务器，web漏洞扫描和远程终端协议；</w:t>
            </w:r>
            <w:r>
              <w:br/>
            </w:r>
            <w:r>
              <w:rPr>
                <w:sz w:val="21"/>
              </w:rPr>
              <w:t xml:space="preserve"> 3.对于相关系统服务器进行测试，采用工具+人工的方式；</w:t>
            </w:r>
            <w:r>
              <w:br/>
            </w:r>
            <w:r>
              <w:rPr>
                <w:sz w:val="21"/>
              </w:rPr>
              <w:t xml:space="preserve"> 4.进行扫描时，不得影响网络性能和被扫描对象正常使用，开展工作前按采购人要求做好报备申请，未获得采购人批准不得私自开展扫描渗透工作。</w:t>
            </w:r>
            <w:r>
              <w:br/>
            </w:r>
            <w:r>
              <w:rPr>
                <w:sz w:val="21"/>
              </w:rPr>
              <w:t xml:space="preserve"> （二）网站常规渗透测试</w:t>
            </w:r>
            <w:r>
              <w:br/>
            </w:r>
            <w:r>
              <w:rPr>
                <w:sz w:val="21"/>
              </w:rPr>
              <w:t xml:space="preserve"> 渗透测试包括但不限于以下详细内容：</w:t>
            </w:r>
          </w:p>
          <w:tbl>
            <w:tblPr>
              <w:tblBorders>
                <w:top w:val="none" w:color="000000" w:sz="4"/>
                <w:left w:val="none" w:color="000000" w:sz="4"/>
                <w:bottom w:val="none" w:color="000000" w:sz="4"/>
                <w:right w:val="none" w:color="000000" w:sz="4"/>
                <w:insideH w:val="none"/>
                <w:insideV w:val="none"/>
              </w:tblBorders>
            </w:tblPr>
            <w:tblGrid>
              <w:gridCol w:w="924"/>
              <w:gridCol w:w="4674"/>
            </w:tblGrid>
            <w:tr>
              <w:tc>
                <w:tcPr>
                  <w:tcW w:type="dxa" w:w="924"/>
                  <w:tcBorders>
                    <w:top w:val="singl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1"/>
                      <w:b/>
                    </w:rPr>
                    <w:t>渗透内容</w:t>
                  </w:r>
                </w:p>
              </w:tc>
              <w:tc>
                <w:tcPr>
                  <w:tcW w:type="dxa" w:w="4674"/>
                  <w:tcBorders>
                    <w:top w:val="singl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1"/>
                      <w:b/>
                    </w:rPr>
                    <w:t>内容描述</w:t>
                  </w:r>
                </w:p>
              </w:tc>
            </w:tr>
            <w:tr>
              <w:tc>
                <w:tcPr>
                  <w:tcW w:type="dxa" w:w="92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1"/>
                    </w:rPr>
                    <w:t>网络系统渗透</w:t>
                  </w:r>
                </w:p>
              </w:tc>
              <w:tc>
                <w:tcPr>
                  <w:tcW w:type="dxa" w:w="467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1"/>
                    </w:rPr>
                    <w:t>对网络拓扑进行发现，对网络设备（如防火墙、路由器、交换机）等进行渗透攻击，寻找网络构架的风险薄弱点；</w:t>
                  </w:r>
                </w:p>
              </w:tc>
            </w:tr>
            <w:tr>
              <w:tc>
                <w:tcPr>
                  <w:tcW w:type="dxa" w:w="92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1"/>
                    </w:rPr>
                    <w:t>应用服务渗透</w:t>
                  </w:r>
                </w:p>
              </w:tc>
              <w:tc>
                <w:tcPr>
                  <w:tcW w:type="dxa" w:w="467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1"/>
                    </w:rPr>
                    <w:t>对应用服务（包括操作系统），等进行渗透攻击，获取或篡改关键信息，最大程度提升权限，据此形成专业的风险渗透报告；</w:t>
                  </w:r>
                </w:p>
              </w:tc>
            </w:tr>
            <w:tr>
              <w:tc>
                <w:tcPr>
                  <w:tcW w:type="dxa" w:w="92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1"/>
                      <w:color w:val="000000"/>
                    </w:rPr>
                    <w:t>数据库渗透</w:t>
                  </w:r>
                </w:p>
              </w:tc>
              <w:tc>
                <w:tcPr>
                  <w:tcW w:type="dxa" w:w="467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1"/>
                      <w:color w:val="000000"/>
                    </w:rPr>
                    <w:t>对专用数据服务（包括操作系统），如SQL、Oracle、SYbase、DB2等进行渗透攻击，获取或篡改关键信息，最大程度提升权限，据此形成专业的风险渗透报告；</w:t>
                  </w:r>
                </w:p>
              </w:tc>
            </w:tr>
            <w:tr>
              <w:tc>
                <w:tcPr>
                  <w:tcW w:type="dxa" w:w="92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1"/>
                      <w:color w:val="000000"/>
                    </w:rPr>
                    <w:t>隐秘测试</w:t>
                  </w:r>
                </w:p>
              </w:tc>
              <w:tc>
                <w:tcPr>
                  <w:tcW w:type="dxa" w:w="467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1"/>
                      <w:color w:val="000000"/>
                    </w:rPr>
                    <w:t>隐秘测试是对被测单位而言的，通常情况下，接受渗透测试的单位网络管理部门会收到通知：在某些时段进行测试。因此能够监测网络中出现的变化。但隐秘测试则被测单位也仅有极少数人知晓测试的存在，因此能够有效地检验单位中的信息安全事件监控、响应、恢复做得是否到位；</w:t>
                  </w:r>
                </w:p>
              </w:tc>
            </w:tr>
            <w:tr>
              <w:tc>
                <w:tcPr>
                  <w:tcW w:type="dxa" w:w="92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1"/>
                      <w:color w:val="000000"/>
                    </w:rPr>
                    <w:t>攻击路径</w:t>
                  </w:r>
                </w:p>
              </w:tc>
              <w:tc>
                <w:tcPr>
                  <w:tcW w:type="dxa" w:w="467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1"/>
                      <w:color w:val="000000"/>
                    </w:rPr>
                    <w:t>测试目标不同，涉及需要采用的技术也会有一定差异，因此下面简单说明在不同位置、攻击路径不同时可能采用的技术；</w:t>
                  </w:r>
                </w:p>
              </w:tc>
            </w:tr>
            <w:tr>
              <w:tc>
                <w:tcPr>
                  <w:tcW w:type="dxa" w:w="92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1"/>
                      <w:color w:val="000000"/>
                    </w:rPr>
                    <w:t>内网测试</w:t>
                  </w:r>
                </w:p>
              </w:tc>
              <w:tc>
                <w:tcPr>
                  <w:tcW w:type="dxa" w:w="467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1"/>
                      <w:color w:val="000000"/>
                    </w:rPr>
                    <w:t>内网测试指的是渗透测试人员由内部网络发起测试，这类测试能够模拟企业内部违规操作者的行为。最主要的“优势”是绕过了防火墙的保护。内部主要可能采用的渗透方式：</w:t>
                  </w:r>
                </w:p>
                <w:p>
                  <w:pPr>
                    <w:pStyle w:val="null3"/>
                    <w:jc w:val="both"/>
                  </w:pPr>
                  <w:r>
                    <w:rPr>
                      <w:sz w:val="21"/>
                      <w:color w:val="000000"/>
                    </w:rPr>
                    <w:t>1)远程缓冲区溢出；</w:t>
                  </w:r>
                </w:p>
                <w:p>
                  <w:pPr>
                    <w:pStyle w:val="null3"/>
                    <w:jc w:val="both"/>
                  </w:pPr>
                  <w:r>
                    <w:rPr>
                      <w:sz w:val="21"/>
                      <w:color w:val="000000"/>
                    </w:rPr>
                    <w:t>2)口令猜测；</w:t>
                  </w:r>
                </w:p>
                <w:p>
                  <w:pPr>
                    <w:pStyle w:val="null3"/>
                    <w:jc w:val="both"/>
                  </w:pPr>
                  <w:r>
                    <w:rPr>
                      <w:sz w:val="21"/>
                      <w:color w:val="000000"/>
                    </w:rPr>
                    <w:t>3)B/S或C/S应用程序测试（如果涉及C/S程序测试，需要提前准备相关客户端软件供测试使用）；</w:t>
                  </w:r>
                </w:p>
              </w:tc>
            </w:tr>
            <w:tr>
              <w:tc>
                <w:tcPr>
                  <w:tcW w:type="dxa" w:w="92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1"/>
                      <w:color w:val="000000"/>
                    </w:rPr>
                    <w:t>外网测试</w:t>
                  </w:r>
                </w:p>
              </w:tc>
              <w:tc>
                <w:tcPr>
                  <w:tcW w:type="dxa" w:w="467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1"/>
                      <w:color w:val="000000"/>
                    </w:rPr>
                    <w:t>外网测试指的是渗透测试人员完全处于外部网络（例如拨号、ADSL或外部光纤），模拟对内部状态一无所知的外部攻击者的行为；</w:t>
                  </w:r>
                </w:p>
                <w:p>
                  <w:pPr>
                    <w:pStyle w:val="null3"/>
                    <w:jc w:val="both"/>
                  </w:pPr>
                  <w:r>
                    <w:rPr>
                      <w:sz w:val="21"/>
                      <w:color w:val="000000"/>
                    </w:rPr>
                    <w:t>1)对网络设备的远程攻击；</w:t>
                  </w:r>
                </w:p>
                <w:p>
                  <w:pPr>
                    <w:pStyle w:val="null3"/>
                    <w:jc w:val="both"/>
                  </w:pPr>
                  <w:r>
                    <w:rPr>
                      <w:sz w:val="21"/>
                      <w:color w:val="000000"/>
                    </w:rPr>
                    <w:t>2)口令管理安全性测试；</w:t>
                  </w:r>
                </w:p>
                <w:p>
                  <w:pPr>
                    <w:pStyle w:val="null3"/>
                    <w:jc w:val="both"/>
                  </w:pPr>
                  <w:r>
                    <w:rPr>
                      <w:sz w:val="21"/>
                      <w:color w:val="000000"/>
                    </w:rPr>
                    <w:t>3)防火墙规则试探、规避；</w:t>
                  </w:r>
                </w:p>
                <w:p>
                  <w:pPr>
                    <w:pStyle w:val="null3"/>
                    <w:jc w:val="both"/>
                  </w:pPr>
                  <w:r>
                    <w:rPr>
                      <w:sz w:val="21"/>
                      <w:color w:val="000000"/>
                    </w:rPr>
                    <w:t>4)Web及其它开放应用服务的安全性测试；</w:t>
                  </w:r>
                </w:p>
              </w:tc>
            </w:tr>
            <w:tr>
              <w:tc>
                <w:tcPr>
                  <w:tcW w:type="dxa" w:w="92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1"/>
                      <w:color w:val="000000"/>
                    </w:rPr>
                    <w:t>不同网段/Vlan之间的渗透</w:t>
                  </w:r>
                </w:p>
              </w:tc>
              <w:tc>
                <w:tcPr>
                  <w:tcW w:type="dxa" w:w="467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1"/>
                      <w:color w:val="000000"/>
                    </w:rPr>
                    <w:t>这种渗透方式是从某内/外部网段，尝试对另一网段/Vlan进行渗透。这类测试通常可能用到的技术包括：</w:t>
                  </w:r>
                </w:p>
                <w:p>
                  <w:pPr>
                    <w:pStyle w:val="null3"/>
                    <w:jc w:val="both"/>
                  </w:pPr>
                  <w:r>
                    <w:rPr>
                      <w:sz w:val="21"/>
                      <w:color w:val="000000"/>
                    </w:rPr>
                    <w:t>1)对网络设备的远程攻击；</w:t>
                  </w:r>
                </w:p>
                <w:p>
                  <w:pPr>
                    <w:pStyle w:val="null3"/>
                    <w:jc w:val="both"/>
                  </w:pPr>
                  <w:r>
                    <w:rPr>
                      <w:sz w:val="21"/>
                      <w:color w:val="000000"/>
                    </w:rPr>
                    <w:t>2)对防火墙的远程攻击或规则探测、规避尝试；</w:t>
                  </w:r>
                </w:p>
              </w:tc>
            </w:tr>
            <w:tr>
              <w:tc>
                <w:tcPr>
                  <w:tcW w:type="dxa" w:w="92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1"/>
                      <w:color w:val="000000"/>
                    </w:rPr>
                    <w:t>深度测试</w:t>
                  </w:r>
                </w:p>
              </w:tc>
              <w:tc>
                <w:tcPr>
                  <w:tcW w:type="dxa" w:w="467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1"/>
                      <w:color w:val="000000"/>
                    </w:rPr>
                    <w:t>SSL/TLS</w:t>
                  </w:r>
                  <w:r>
                    <w:rPr>
                      <w:sz w:val="21"/>
                      <w:color w:val="000000"/>
                    </w:rPr>
                    <w:t>测试、数据库监听测试、基础结构配置管理测试、应用配置管理测试、文件扩展名处理测试、基础结构和应用管理接口测试、</w:t>
                  </w:r>
                  <w:r>
                    <w:rPr>
                      <w:sz w:val="21"/>
                      <w:color w:val="000000"/>
                    </w:rPr>
                    <w:t>HTTP</w:t>
                  </w:r>
                  <w:r>
                    <w:rPr>
                      <w:sz w:val="21"/>
                      <w:color w:val="000000"/>
                    </w:rPr>
                    <w:t>方法和</w:t>
                  </w:r>
                  <w:r>
                    <w:rPr>
                      <w:sz w:val="21"/>
                      <w:color w:val="000000"/>
                    </w:rPr>
                    <w:t>XST</w:t>
                  </w:r>
                  <w:r>
                    <w:rPr>
                      <w:sz w:val="21"/>
                      <w:color w:val="000000"/>
                    </w:rPr>
                    <w:t>测试；</w:t>
                  </w:r>
                </w:p>
              </w:tc>
            </w:tr>
            <w:tr>
              <w:tc>
                <w:tcPr>
                  <w:tcW w:type="dxa" w:w="92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1"/>
                      <w:color w:val="000000"/>
                    </w:rPr>
                    <w:t>认证测试</w:t>
                  </w:r>
                </w:p>
              </w:tc>
              <w:tc>
                <w:tcPr>
                  <w:tcW w:type="dxa" w:w="467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1"/>
                      <w:color w:val="000000"/>
                    </w:rPr>
                    <w:t>加密信道证书传输、用户枚举测试、可猜解用户帐户猜测（遍历）测试、多线程暴力测试、认证架构绕过测试、记住密码和密码重置弱点测试、注销和浏览器的缓存管理测试、</w:t>
                  </w:r>
                  <w:r>
                    <w:rPr>
                      <w:sz w:val="21"/>
                      <w:color w:val="000000"/>
                    </w:rPr>
                    <w:t>CAPTCHA</w:t>
                  </w:r>
                  <w:r>
                    <w:rPr>
                      <w:sz w:val="21"/>
                      <w:color w:val="000000"/>
                    </w:rPr>
                    <w:t>测试、多因素身份验证测试</w:t>
                  </w:r>
                  <w:r>
                    <w:rPr>
                      <w:sz w:val="21"/>
                      <w:color w:val="000000"/>
                    </w:rPr>
                    <w:t>(Testing Multiple Factors Authentication)</w:t>
                  </w:r>
                  <w:r>
                    <w:rPr>
                      <w:sz w:val="21"/>
                      <w:color w:val="000000"/>
                    </w:rPr>
                    <w:t>、竞态条件测试；</w:t>
                  </w:r>
                </w:p>
              </w:tc>
            </w:tr>
            <w:tr>
              <w:tc>
                <w:tcPr>
                  <w:tcW w:type="dxa" w:w="92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1"/>
                      <w:color w:val="000000"/>
                    </w:rPr>
                    <w:t>授权测试</w:t>
                  </w:r>
                </w:p>
              </w:tc>
              <w:tc>
                <w:tcPr>
                  <w:tcW w:type="dxa" w:w="467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1"/>
                      <w:color w:val="000000"/>
                    </w:rPr>
                    <w:t>路径遍历测试、绕过授权模式测试、权限提升测试；</w:t>
                  </w:r>
                </w:p>
              </w:tc>
            </w:tr>
            <w:tr>
              <w:tc>
                <w:tcPr>
                  <w:tcW w:type="dxa" w:w="92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1"/>
                      <w:color w:val="000000"/>
                    </w:rPr>
                    <w:t>会话管理测试</w:t>
                  </w:r>
                </w:p>
              </w:tc>
              <w:tc>
                <w:tcPr>
                  <w:tcW w:type="dxa" w:w="467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1"/>
                      <w:color w:val="000000"/>
                    </w:rPr>
                    <w:t>会话管理模式测试、</w:t>
                  </w:r>
                  <w:r>
                    <w:rPr>
                      <w:sz w:val="21"/>
                      <w:color w:val="000000"/>
                    </w:rPr>
                    <w:t>Cookies</w:t>
                  </w:r>
                  <w:r>
                    <w:rPr>
                      <w:sz w:val="21"/>
                      <w:color w:val="000000"/>
                    </w:rPr>
                    <w:t>属性测试、会话固定测试、会话变量泄漏测试、跨站请求伪造（</w:t>
                  </w:r>
                  <w:r>
                    <w:rPr>
                      <w:sz w:val="21"/>
                      <w:color w:val="000000"/>
                    </w:rPr>
                    <w:t>CSRF</w:t>
                  </w:r>
                  <w:r>
                    <w:rPr>
                      <w:sz w:val="21"/>
                      <w:color w:val="000000"/>
                    </w:rPr>
                    <w:t>）测试；</w:t>
                  </w:r>
                </w:p>
              </w:tc>
            </w:tr>
            <w:tr>
              <w:tc>
                <w:tcPr>
                  <w:tcW w:type="dxa" w:w="92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1"/>
                      <w:color w:val="000000"/>
                    </w:rPr>
                    <w:t>数据验证测试</w:t>
                  </w:r>
                </w:p>
              </w:tc>
              <w:tc>
                <w:tcPr>
                  <w:tcW w:type="dxa" w:w="467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1"/>
                      <w:color w:val="000000"/>
                    </w:rPr>
                    <w:t>跨站点脚本的测试(跨站脚本反射测试、跨站脚本存储测试、跨站脚本</w:t>
                  </w:r>
                  <w:r>
                    <w:rPr>
                      <w:sz w:val="21"/>
                      <w:color w:val="000000"/>
                    </w:rPr>
                    <w:t>DOM</w:t>
                  </w:r>
                  <w:r>
                    <w:rPr>
                      <w:sz w:val="21"/>
                      <w:color w:val="000000"/>
                    </w:rPr>
                    <w:t>测试、</w:t>
                  </w:r>
                  <w:r>
                    <w:rPr>
                      <w:sz w:val="21"/>
                      <w:color w:val="000000"/>
                    </w:rPr>
                    <w:t>FLASH</w:t>
                  </w:r>
                  <w:r>
                    <w:rPr>
                      <w:sz w:val="21"/>
                      <w:color w:val="000000"/>
                    </w:rPr>
                    <w:t>跨站测试</w:t>
                  </w:r>
                  <w:r>
                    <w:rPr>
                      <w:sz w:val="21"/>
                      <w:color w:val="000000"/>
                    </w:rPr>
                    <w:t>)</w:t>
                  </w:r>
                  <w:r>
                    <w:rPr>
                      <w:sz w:val="21"/>
                      <w:color w:val="000000"/>
                    </w:rPr>
                    <w:t>、</w:t>
                  </w:r>
                  <w:r>
                    <w:rPr>
                      <w:sz w:val="21"/>
                      <w:color w:val="000000"/>
                    </w:rPr>
                    <w:t>SQL</w:t>
                  </w:r>
                  <w:r>
                    <w:rPr>
                      <w:sz w:val="21"/>
                      <w:color w:val="000000"/>
                    </w:rPr>
                    <w:t>注入</w:t>
                  </w:r>
                  <w:r>
                    <w:rPr>
                      <w:sz w:val="21"/>
                      <w:color w:val="000000"/>
                    </w:rPr>
                    <w:t>(Oracle</w:t>
                  </w:r>
                  <w:r>
                    <w:rPr>
                      <w:sz w:val="21"/>
                      <w:color w:val="000000"/>
                    </w:rPr>
                    <w:t>测试、</w:t>
                  </w:r>
                  <w:r>
                    <w:rPr>
                      <w:sz w:val="21"/>
                      <w:color w:val="000000"/>
                    </w:rPr>
                    <w:t>MySQL</w:t>
                  </w:r>
                  <w:r>
                    <w:rPr>
                      <w:sz w:val="21"/>
                      <w:color w:val="000000"/>
                    </w:rPr>
                    <w:t>测试、</w:t>
                  </w:r>
                  <w:r>
                    <w:rPr>
                      <w:sz w:val="21"/>
                      <w:color w:val="000000"/>
                    </w:rPr>
                    <w:t>SQL Server</w:t>
                  </w:r>
                  <w:r>
                    <w:rPr>
                      <w:sz w:val="21"/>
                      <w:color w:val="000000"/>
                    </w:rPr>
                    <w:t>测试、</w:t>
                  </w:r>
                  <w:r>
                    <w:rPr>
                      <w:sz w:val="21"/>
                      <w:color w:val="000000"/>
                    </w:rPr>
                    <w:t>MS ACCESS</w:t>
                  </w:r>
                  <w:r>
                    <w:rPr>
                      <w:sz w:val="21"/>
                      <w:color w:val="000000"/>
                    </w:rPr>
                    <w:t>测试、</w:t>
                  </w:r>
                  <w:r>
                    <w:rPr>
                      <w:sz w:val="21"/>
                      <w:color w:val="000000"/>
                    </w:rPr>
                    <w:t>PostgreSQL</w:t>
                  </w:r>
                  <w:r>
                    <w:rPr>
                      <w:sz w:val="21"/>
                      <w:color w:val="000000"/>
                    </w:rPr>
                    <w:t>测试</w:t>
                  </w:r>
                  <w:r>
                    <w:rPr>
                      <w:sz w:val="21"/>
                      <w:color w:val="000000"/>
                    </w:rPr>
                    <w:t>)</w:t>
                  </w:r>
                  <w:r>
                    <w:rPr>
                      <w:sz w:val="21"/>
                      <w:color w:val="000000"/>
                    </w:rPr>
                    <w:t>、</w:t>
                  </w:r>
                  <w:r>
                    <w:rPr>
                      <w:sz w:val="21"/>
                      <w:color w:val="000000"/>
                    </w:rPr>
                    <w:t>LDAP</w:t>
                  </w:r>
                  <w:r>
                    <w:rPr>
                      <w:sz w:val="21"/>
                      <w:color w:val="000000"/>
                    </w:rPr>
                    <w:t>注入、</w:t>
                  </w:r>
                  <w:r>
                    <w:rPr>
                      <w:sz w:val="21"/>
                      <w:color w:val="000000"/>
                    </w:rPr>
                    <w:t>ORM</w:t>
                  </w:r>
                  <w:r>
                    <w:rPr>
                      <w:sz w:val="21"/>
                      <w:color w:val="000000"/>
                    </w:rPr>
                    <w:t>注入、</w:t>
                  </w:r>
                  <w:r>
                    <w:rPr>
                      <w:sz w:val="21"/>
                      <w:color w:val="000000"/>
                    </w:rPr>
                    <w:t>XML</w:t>
                  </w:r>
                  <w:r>
                    <w:rPr>
                      <w:sz w:val="21"/>
                      <w:color w:val="000000"/>
                    </w:rPr>
                    <w:t>注入、</w:t>
                  </w:r>
                  <w:r>
                    <w:rPr>
                      <w:sz w:val="21"/>
                      <w:color w:val="000000"/>
                    </w:rPr>
                    <w:t>SSI</w:t>
                  </w:r>
                  <w:r>
                    <w:rPr>
                      <w:sz w:val="21"/>
                      <w:color w:val="000000"/>
                    </w:rPr>
                    <w:t>注入、</w:t>
                  </w:r>
                  <w:r>
                    <w:rPr>
                      <w:sz w:val="21"/>
                      <w:color w:val="000000"/>
                    </w:rPr>
                    <w:t>XPath</w:t>
                  </w:r>
                  <w:r>
                    <w:rPr>
                      <w:sz w:val="21"/>
                      <w:color w:val="000000"/>
                    </w:rPr>
                    <w:t>注入、</w:t>
                  </w:r>
                  <w:r>
                    <w:rPr>
                      <w:sz w:val="21"/>
                      <w:color w:val="000000"/>
                    </w:rPr>
                    <w:t>IMAP/SMTP</w:t>
                  </w:r>
                  <w:r>
                    <w:rPr>
                      <w:sz w:val="21"/>
                      <w:color w:val="000000"/>
                    </w:rPr>
                    <w:t>注入、</w:t>
                  </w:r>
                  <w:r>
                    <w:rPr>
                      <w:sz w:val="21"/>
                      <w:color w:val="000000"/>
                    </w:rPr>
                    <w:t>Code</w:t>
                  </w:r>
                  <w:r>
                    <w:rPr>
                      <w:sz w:val="21"/>
                      <w:color w:val="000000"/>
                    </w:rPr>
                    <w:t>注入、</w:t>
                  </w:r>
                  <w:r>
                    <w:rPr>
                      <w:sz w:val="21"/>
                      <w:color w:val="000000"/>
                    </w:rPr>
                    <w:t>OS</w:t>
                  </w:r>
                  <w:r>
                    <w:rPr>
                      <w:sz w:val="21"/>
                      <w:color w:val="000000"/>
                    </w:rPr>
                    <w:t>命令测试、缓冲区溢出测试、孵育漏洞测试、</w:t>
                  </w:r>
                  <w:r>
                    <w:rPr>
                      <w:sz w:val="21"/>
                      <w:color w:val="000000"/>
                    </w:rPr>
                    <w:t>HTTP-Splitting/Smuggling</w:t>
                  </w:r>
                  <w:r>
                    <w:rPr>
                      <w:sz w:val="21"/>
                      <w:color w:val="000000"/>
                    </w:rPr>
                    <w:t>测试；</w:t>
                  </w:r>
                </w:p>
              </w:tc>
            </w:tr>
            <w:tr>
              <w:tc>
                <w:tcPr>
                  <w:tcW w:type="dxa" w:w="92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1"/>
                      <w:color w:val="000000"/>
                    </w:rPr>
                    <w:t>拒绝服务攻击的测试</w:t>
                  </w:r>
                </w:p>
              </w:tc>
              <w:tc>
                <w:tcPr>
                  <w:tcW w:type="dxa" w:w="467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1"/>
                      <w:color w:val="000000"/>
                    </w:rPr>
                    <w:t>SQL</w:t>
                  </w:r>
                  <w:r>
                    <w:rPr>
                      <w:sz w:val="21"/>
                      <w:color w:val="000000"/>
                    </w:rPr>
                    <w:t>通配符攻击测试、锁定用户账户、缓存溢出、分配用户指定对象、将用户输入作为循环计数器、将用户提供的数据写到磁盘、释放资源失败、存储过多会话数据；</w:t>
                  </w:r>
                </w:p>
              </w:tc>
            </w:tr>
            <w:tr>
              <w:tc>
                <w:tcPr>
                  <w:tcW w:type="dxa" w:w="92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1"/>
                      <w:color w:val="000000"/>
                    </w:rPr>
                    <w:t>WEB</w:t>
                  </w:r>
                  <w:r>
                    <w:rPr>
                      <w:sz w:val="21"/>
                      <w:color w:val="000000"/>
                    </w:rPr>
                    <w:t>服务</w:t>
                  </w:r>
                </w:p>
                <w:p>
                  <w:pPr>
                    <w:pStyle w:val="null3"/>
                    <w:jc w:val="center"/>
                  </w:pPr>
                  <w:r>
                    <w:rPr>
                      <w:sz w:val="21"/>
                      <w:color w:val="000000"/>
                    </w:rPr>
                    <w:t>测试</w:t>
                  </w:r>
                </w:p>
              </w:tc>
              <w:tc>
                <w:tcPr>
                  <w:tcW w:type="dxa" w:w="4674"/>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1"/>
                      <w:color w:val="000000"/>
                    </w:rPr>
                    <w:t>WS信息收集、WSDL测试、XML结构测试、XML内容级别测试、HTTP获取参数/REST测试、淘气的SOAP附件、回放测试；</w:t>
                  </w:r>
                </w:p>
              </w:tc>
            </w:tr>
          </w:tbl>
          <w:p>
            <w:pPr>
              <w:pStyle w:val="null3"/>
            </w:pPr>
            <w:r>
              <w:rPr>
                <w:sz w:val="21"/>
              </w:rPr>
              <w:t>（三）时间要求</w:t>
            </w:r>
          </w:p>
          <w:tbl>
            <w:tblPr>
              <w:tblBorders>
                <w:top w:val="none" w:color="000000" w:sz="4"/>
                <w:left w:val="none" w:color="000000" w:sz="4"/>
                <w:bottom w:val="none" w:color="000000" w:sz="4"/>
                <w:right w:val="none" w:color="000000" w:sz="4"/>
                <w:insideH w:val="none"/>
                <w:insideV w:val="none"/>
              </w:tblBorders>
            </w:tblPr>
            <w:tblGrid>
              <w:gridCol w:w="704"/>
              <w:gridCol w:w="1610"/>
              <w:gridCol w:w="1804"/>
              <w:gridCol w:w="2869"/>
            </w:tblGrid>
            <w:tr>
              <w:tc>
                <w:tcPr>
                  <w:tcW w:type="dxa" w:w="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5"/>
                    <w:jc w:val="center"/>
                  </w:pPr>
                  <w:r>
                    <w:rPr>
                      <w:sz w:val="21"/>
                      <w:b/>
                      <w:color w:val="000000"/>
                    </w:rPr>
                    <w:t>服务名称</w:t>
                  </w:r>
                </w:p>
              </w:tc>
              <w:tc>
                <w:tcPr>
                  <w:tcW w:type="dxa" w:w="18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5"/>
                    <w:jc w:val="center"/>
                  </w:pPr>
                  <w:r>
                    <w:rPr>
                      <w:sz w:val="21"/>
                      <w:b/>
                      <w:color w:val="000000"/>
                    </w:rPr>
                    <w:t>时间要求</w:t>
                  </w:r>
                </w:p>
              </w:tc>
              <w:tc>
                <w:tcPr>
                  <w:tcW w:type="dxa" w:w="28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5"/>
                    <w:jc w:val="center"/>
                  </w:pPr>
                  <w:r>
                    <w:rPr>
                      <w:sz w:val="21"/>
                      <w:b/>
                      <w:color w:val="000000"/>
                    </w:rPr>
                    <w:t>完工交付文档</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color w:val="000000"/>
                    </w:rPr>
                    <w:t>1</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color w:val="000000"/>
                    </w:rPr>
                    <w:t>网站漏洞扫描</w:t>
                  </w:r>
                </w:p>
              </w:tc>
              <w:tc>
                <w:tcPr>
                  <w:tcW w:type="dxa" w:w="1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color w:val="000000"/>
                    </w:rPr>
                    <w:t>45个工作日</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color w:val="000000"/>
                    </w:rPr>
                    <w:t>提供详细漏洞扫描报告</w:t>
                  </w:r>
                  <w:r>
                    <w:rPr>
                      <w:sz w:val="21"/>
                    </w:rPr>
                    <w:t xml:space="preserve">  </w:t>
                  </w:r>
                  <w:r>
                    <w:rPr>
                      <w:sz w:val="21"/>
                      <w:color w:val="000000"/>
                    </w:rPr>
                    <w:t xml:space="preserve">               (</w:t>
                  </w:r>
                  <w:r>
                    <w:rPr>
                      <w:sz w:val="21"/>
                      <w:color w:val="000000"/>
                    </w:rPr>
                    <w:t>附安全加固修复解决方案</w:t>
                  </w:r>
                  <w:r>
                    <w:rPr>
                      <w:sz w:val="21"/>
                      <w:color w:val="000000"/>
                    </w:rPr>
                    <w:t>)</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color w:val="000000"/>
                    </w:rPr>
                    <w:t>2</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color w:val="000000"/>
                    </w:rPr>
                    <w:t>人工渗透测试</w:t>
                  </w:r>
                </w:p>
              </w:tc>
              <w:tc>
                <w:tcPr>
                  <w:tcW w:type="dxa" w:w="1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color w:val="000000"/>
                    </w:rPr>
                    <w:t>45个工作日</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color w:val="000000"/>
                    </w:rPr>
                    <w:t xml:space="preserve">提供详细渗透测试报告 </w:t>
                  </w:r>
                  <w:r>
                    <w:rPr>
                      <w:sz w:val="21"/>
                      <w:color w:val="000000"/>
                    </w:rPr>
                    <w:t xml:space="preserve">                   (</w:t>
                  </w:r>
                  <w:r>
                    <w:rPr>
                      <w:sz w:val="21"/>
                      <w:color w:val="000000"/>
                    </w:rPr>
                    <w:t>附安全加固修复解决方案</w:t>
                  </w:r>
                  <w:r>
                    <w:rPr>
                      <w:sz w:val="21"/>
                      <w:color w:val="000000"/>
                    </w:rPr>
                    <w:t>)</w:t>
                  </w:r>
                </w:p>
              </w:tc>
            </w:tr>
          </w:tbl>
          <w:p>
            <w:pPr>
              <w:pStyle w:val="null3"/>
            </w:pPr>
            <w:r>
              <w:rPr/>
              <w:t xml:space="preserve"> </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二、工具要求</w:t>
            </w:r>
            <w:r>
              <w:br/>
            </w:r>
            <w:r>
              <w:rPr>
                <w:sz w:val="21"/>
              </w:rPr>
              <w:t xml:space="preserve"> （一）★必须保证所使用的所有工具和软件不会产生所有权和知识产权纠纷，提供承诺无发生所有权和知识产权纠纷的说明函（成交后提供原件备案）；并保证工具和软件的可用性和可靠性。由此产生的一切责任由成交供应商负完全责任（响应文件中须提供说明函，格式自拟）</w:t>
            </w:r>
            <w:r>
              <w:rPr>
                <w:sz w:val="21"/>
              </w:rPr>
              <w:t>。</w:t>
            </w:r>
            <w:r>
              <w:br/>
            </w:r>
            <w:r>
              <w:rPr>
                <w:sz w:val="21"/>
              </w:rPr>
              <w:t xml:space="preserve"> （二）★本项目使用的所有服务工具和软件无需本项目采购人购买，均由成交供应商自行提供（响应文件中须提供承诺函，格式自拟）</w:t>
            </w:r>
            <w:r>
              <w:rPr>
                <w:sz w:val="21"/>
              </w:rPr>
              <w:t>。</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（三）响应供应商提供的工具和软件需满足如下要求：</w:t>
            </w:r>
          </w:p>
          <w:tbl>
            <w:tblPr>
              <w:tblBorders>
                <w:top w:val="none" w:color="000000" w:sz="4"/>
                <w:left w:val="none" w:color="000000" w:sz="4"/>
                <w:bottom w:val="none" w:color="000000" w:sz="4"/>
                <w:right w:val="none" w:color="000000" w:sz="4"/>
                <w:insideH w:val="none"/>
                <w:insideV w:val="none"/>
              </w:tblBorders>
            </w:tblPr>
            <w:tblGrid>
              <w:gridCol w:w="1153"/>
              <w:gridCol w:w="5836"/>
            </w:tblGrid>
            <w:tr>
              <w:tc>
                <w:tcPr>
                  <w:tcW w:type="dxa" w:w="1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工具名称</w:t>
                  </w:r>
                </w:p>
              </w:tc>
              <w:tc>
                <w:tcPr>
                  <w:tcW w:type="dxa" w:w="5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服务工具要求</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云安全检测工具</w:t>
                  </w:r>
                </w:p>
              </w:tc>
              <w:tc>
                <w:tcPr>
                  <w:tcW w:type="dxa" w:w="5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服务过程中提供对云平台用户进行安全检测：</w:t>
                  </w:r>
                </w:p>
                <w:p>
                  <w:pPr>
                    <w:pStyle w:val="null3"/>
                    <w:jc w:val="left"/>
                  </w:pPr>
                  <w:r>
                    <w:rPr>
                      <w:sz w:val="21"/>
                    </w:rPr>
                    <w:t>▲1、厂商应具备三年以上漏洞研究经验和独立漏洞发掘能力，自主发现的CNVD原创漏洞不少于800个以上</w:t>
                  </w:r>
                  <w:r>
                    <w:rPr>
                      <w:sz w:val="21"/>
                      <w:b/>
                    </w:rPr>
                    <w:t>（</w:t>
                  </w:r>
                  <w:r>
                    <w:rPr>
                      <w:sz w:val="21"/>
                      <w:b/>
                    </w:rPr>
                    <w:t>同时</w:t>
                  </w:r>
                  <w:r>
                    <w:rPr>
                      <w:sz w:val="21"/>
                      <w:b/>
                    </w:rPr>
                    <w:t>提供</w:t>
                  </w:r>
                  <w:r>
                    <w:rPr>
                      <w:sz w:val="21"/>
                      <w:b/>
                    </w:rPr>
                    <w:t>漏洞</w:t>
                  </w:r>
                  <w:r>
                    <w:rPr>
                      <w:sz w:val="21"/>
                      <w:b/>
                    </w:rPr>
                    <w:t>报送</w:t>
                  </w:r>
                  <w:r>
                    <w:rPr>
                      <w:sz w:val="21"/>
                      <w:b/>
                    </w:rPr>
                    <w:t>证明</w:t>
                  </w:r>
                  <w:r>
                    <w:rPr>
                      <w:sz w:val="21"/>
                      <w:b/>
                    </w:rPr>
                    <w:t>及</w:t>
                  </w:r>
                  <w:r>
                    <w:rPr>
                      <w:sz w:val="21"/>
                      <w:b/>
                    </w:rPr>
                    <w:t>服务工具合法来源的证明材料</w:t>
                  </w:r>
                  <w:r>
                    <w:rPr>
                      <w:sz w:val="21"/>
                      <w:b/>
                    </w:rPr>
                    <w:t>)</w:t>
                  </w:r>
                  <w:r>
                    <w:rPr>
                      <w:sz w:val="21"/>
                    </w:rPr>
                    <w:t>。</w:t>
                  </w:r>
                </w:p>
                <w:p>
                  <w:pPr>
                    <w:pStyle w:val="null3"/>
                    <w:jc w:val="left"/>
                  </w:pPr>
                  <w:r>
                    <w:rPr>
                      <w:sz w:val="21"/>
                    </w:rPr>
                    <w:t>2、支持全局风险统计功能，通过扇形图、条状图、标签、表格等形式直观展示资产风险分布、漏洞风险等级分布、紧急漏洞、风险资产清单等信息，并可查看详情。</w:t>
                  </w:r>
                </w:p>
                <w:p>
                  <w:pPr>
                    <w:pStyle w:val="null3"/>
                    <w:jc w:val="left"/>
                  </w:pPr>
                  <w:r>
                    <w:rPr>
                      <w:sz w:val="21"/>
                    </w:rPr>
                    <w:t>▲3、支持全面扫描、资产发现、系统漏洞扫描、弱口令扫描、WEB漏洞扫描、基线配置核查六种任务类型，其中全面扫描支持系统漏洞扫描、WEB漏洞扫描、弱口令扫描同时执行</w:t>
                  </w:r>
                  <w:r>
                    <w:rPr>
                      <w:sz w:val="21"/>
                      <w:b/>
                    </w:rPr>
                    <w:t>（</w:t>
                  </w:r>
                  <w:r>
                    <w:rPr>
                      <w:sz w:val="21"/>
                      <w:b/>
                    </w:rPr>
                    <w:t>同时</w:t>
                  </w:r>
                  <w:r>
                    <w:rPr>
                      <w:sz w:val="21"/>
                      <w:b/>
                    </w:rPr>
                    <w:t>提供产品界面截图</w:t>
                  </w:r>
                  <w:r>
                    <w:rPr>
                      <w:sz w:val="21"/>
                      <w:b/>
                    </w:rPr>
                    <w:t>及</w:t>
                  </w:r>
                  <w:r>
                    <w:rPr>
                      <w:sz w:val="21"/>
                      <w:b/>
                    </w:rPr>
                    <w:t>服务工具合法来源的证明材料）</w:t>
                  </w:r>
                  <w:r>
                    <w:rPr>
                      <w:sz w:val="21"/>
                    </w:rPr>
                    <w:t>。</w:t>
                  </w:r>
                </w:p>
                <w:p>
                  <w:pPr>
                    <w:pStyle w:val="null3"/>
                    <w:jc w:val="left"/>
                  </w:pPr>
                  <w:r>
                    <w:rPr>
                      <w:sz w:val="21"/>
                    </w:rPr>
                    <w:t>4、支持域管理功能，系统默认内置域名称、数据域、终端接入域、运维管理域、其他业务域、核心业务域、核心交换域、对外服务域、外联域等九个域，可根据</w:t>
                  </w:r>
                  <w:r>
                    <w:rPr>
                      <w:sz w:val="21"/>
                    </w:rPr>
                    <w:t>采购人</w:t>
                  </w:r>
                  <w:r>
                    <w:rPr>
                      <w:sz w:val="21"/>
                    </w:rPr>
                    <w:t>实际情况进行自定义管理。</w:t>
                  </w:r>
                </w:p>
                <w:p>
                  <w:pPr>
                    <w:pStyle w:val="null3"/>
                    <w:jc w:val="left"/>
                  </w:pPr>
                  <w:r>
                    <w:rPr>
                      <w:sz w:val="21"/>
                    </w:rPr>
                    <w:t>5、提供检测结果综述分析，按照等保2.0的检测项要求，统计各业务系统存在的不符合、部分符合、符合、待确认、不适用检测等项，直观了解业务系统合规情况。</w:t>
                  </w:r>
                </w:p>
                <w:p>
                  <w:pPr>
                    <w:pStyle w:val="null3"/>
                    <w:jc w:val="left"/>
                  </w:pPr>
                  <w:r>
                    <w:rPr>
                      <w:sz w:val="21"/>
                    </w:rPr>
                    <w:t>6、展示检测结果，每个检测结果呈现具体问题及整改建议，系统支持手动核查确认、整改后重新检测、以及手动导入全局分析和人工核查报告来对测评报告中的结果进行核查确认，手动核查确认支持单项核查确认和批量核查确认。</w:t>
                  </w:r>
                </w:p>
                <w:p>
                  <w:pPr>
                    <w:pStyle w:val="null3"/>
                    <w:jc w:val="left"/>
                  </w:pPr>
                  <w:r>
                    <w:rPr>
                      <w:sz w:val="21"/>
                    </w:rPr>
                    <w:t>▲7、产品支持对系统漏洞、WEB漏洞、基线配置、弱口令进行扫描和分析，可同时输出包含系统漏洞扫描、WEB漏洞扫描、基线配置核查、弱口令扫描结果的报表</w:t>
                  </w:r>
                  <w:r>
                    <w:rPr>
                      <w:sz w:val="21"/>
                      <w:b/>
                    </w:rPr>
                    <w:t>（</w:t>
                  </w:r>
                  <w:r>
                    <w:rPr>
                      <w:sz w:val="21"/>
                      <w:b/>
                    </w:rPr>
                    <w:t>同时</w:t>
                  </w:r>
                  <w:r>
                    <w:rPr>
                      <w:sz w:val="21"/>
                      <w:b/>
                    </w:rPr>
                    <w:t>提供产品界面截图</w:t>
                  </w:r>
                  <w:r>
                    <w:rPr>
                      <w:sz w:val="21"/>
                      <w:b/>
                    </w:rPr>
                    <w:t>及</w:t>
                  </w:r>
                  <w:r>
                    <w:rPr>
                      <w:sz w:val="21"/>
                      <w:b/>
                    </w:rPr>
                    <w:t>服务工具合法来源的证明材料）</w:t>
                  </w:r>
                  <w:r>
                    <w:rPr>
                      <w:sz w:val="21"/>
                    </w:rPr>
                    <w:t>。</w:t>
                  </w:r>
                </w:p>
                <w:p>
                  <w:pPr>
                    <w:pStyle w:val="null3"/>
                    <w:jc w:val="left"/>
                  </w:pPr>
                  <w:r>
                    <w:rPr>
                      <w:sz w:val="21"/>
                    </w:rPr>
                    <w:t>8、支持通过SSH、TELNET、SMB、RDP等协议登录到跳板机，然后再跳转到远程目标主机进行配置核查，跳转次数不限制。</w:t>
                  </w:r>
                </w:p>
                <w:p>
                  <w:pPr>
                    <w:pStyle w:val="null3"/>
                    <w:jc w:val="left"/>
                  </w:pPr>
                  <w:r>
                    <w:rPr>
                      <w:sz w:val="21"/>
                    </w:rPr>
                    <w:t>▲9、支持对Windows、Linux等操作系统按照等保二级、等保三级要求实施基线配置核查</w:t>
                  </w:r>
                  <w:r>
                    <w:rPr>
                      <w:sz w:val="21"/>
                      <w:b/>
                    </w:rPr>
                    <w:t>（</w:t>
                  </w:r>
                  <w:r>
                    <w:rPr>
                      <w:sz w:val="21"/>
                      <w:b/>
                    </w:rPr>
                    <w:t>同时</w:t>
                  </w:r>
                  <w:r>
                    <w:rPr>
                      <w:sz w:val="21"/>
                      <w:b/>
                    </w:rPr>
                    <w:t>提供产品界面截图</w:t>
                  </w:r>
                  <w:r>
                    <w:rPr>
                      <w:sz w:val="21"/>
                      <w:b/>
                    </w:rPr>
                    <w:t>及</w:t>
                  </w:r>
                  <w:r>
                    <w:rPr>
                      <w:sz w:val="21"/>
                      <w:b/>
                    </w:rPr>
                    <w:t>服务工具合法来源的证明材料）</w:t>
                  </w:r>
                  <w:r>
                    <w:rPr>
                      <w:sz w:val="21"/>
                    </w:rPr>
                    <w:t>。</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应急保障服务工具</w:t>
                  </w:r>
                </w:p>
              </w:tc>
              <w:tc>
                <w:tcPr>
                  <w:tcW w:type="dxa" w:w="5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1、支持自动扫描IP资产信息，包括：“存活IP、设备厂商、操作系统、端口、应用、数据库、中间件、服务版本”等资产指纹特征。</w:t>
                  </w:r>
                </w:p>
                <w:p>
                  <w:pPr>
                    <w:pStyle w:val="null3"/>
                    <w:jc w:val="left"/>
                  </w:pPr>
                  <w:r>
                    <w:rPr>
                      <w:sz w:val="21"/>
                    </w:rPr>
                    <w:t>2、支持自动识别网站资产信息，包括：“中间件信息、web框架信息、CMS&amp;OA、程序语言”等指纹信息，支持爬取网站后台、ICP备案编号、网站标题、网站返回码等属性。</w:t>
                  </w:r>
                </w:p>
                <w:p>
                  <w:pPr>
                    <w:pStyle w:val="null3"/>
                    <w:jc w:val="left"/>
                  </w:pPr>
                  <w:r>
                    <w:rPr>
                      <w:sz w:val="21"/>
                    </w:rPr>
                    <w:t>▲3、支持二级域名扫描功能，输入一级域名进行一键扫描，通过搜索互联网数据，自动获取到该域名的二级域名、网站标题、解析IP地址</w:t>
                  </w:r>
                  <w:r>
                    <w:rPr>
                      <w:sz w:val="21"/>
                      <w:b/>
                    </w:rPr>
                    <w:t>（</w:t>
                  </w:r>
                  <w:r>
                    <w:rPr>
                      <w:sz w:val="21"/>
                      <w:b/>
                    </w:rPr>
                    <w:t>同时</w:t>
                  </w:r>
                  <w:r>
                    <w:rPr>
                      <w:sz w:val="21"/>
                      <w:b/>
                    </w:rPr>
                    <w:t>提供产品界面截图</w:t>
                  </w:r>
                  <w:r>
                    <w:rPr>
                      <w:sz w:val="21"/>
                      <w:b/>
                    </w:rPr>
                    <w:t>及</w:t>
                  </w:r>
                  <w:r>
                    <w:rPr>
                      <w:sz w:val="21"/>
                      <w:b/>
                    </w:rPr>
                    <w:t>服务工具合法来源的证明材料）</w:t>
                  </w:r>
                  <w:r>
                    <w:rPr>
                      <w:sz w:val="21"/>
                    </w:rPr>
                    <w:t>。</w:t>
                  </w:r>
                </w:p>
                <w:p>
                  <w:pPr>
                    <w:pStyle w:val="null3"/>
                    <w:jc w:val="left"/>
                  </w:pPr>
                  <w:r>
                    <w:rPr>
                      <w:sz w:val="21"/>
                    </w:rPr>
                    <w:t>▲4、通过爬取单位已知的网站页面，分析网页中是否包含企业单位相关的网站链接，从而发现未知网站；可配置“网段、域名”等命中规则，自动判断是否属于企业单位的网址</w:t>
                  </w:r>
                  <w:r>
                    <w:rPr>
                      <w:sz w:val="21"/>
                      <w:b/>
                    </w:rPr>
                    <w:t>（</w:t>
                  </w:r>
                  <w:r>
                    <w:rPr>
                      <w:sz w:val="21"/>
                      <w:b/>
                    </w:rPr>
                    <w:t>同时</w:t>
                  </w:r>
                  <w:r>
                    <w:rPr>
                      <w:sz w:val="21"/>
                      <w:b/>
                    </w:rPr>
                    <w:t>提供截图证明材料</w:t>
                  </w:r>
                  <w:r>
                    <w:rPr>
                      <w:sz w:val="21"/>
                      <w:b/>
                    </w:rPr>
                    <w:t>及</w:t>
                  </w:r>
                  <w:r>
                    <w:rPr>
                      <w:sz w:val="21"/>
                      <w:b/>
                    </w:rPr>
                    <w:t>服务工具合法来源的证明材料）</w:t>
                  </w:r>
                  <w:r>
                    <w:rPr>
                      <w:sz w:val="21"/>
                    </w:rPr>
                    <w:t>。</w:t>
                  </w:r>
                </w:p>
                <w:p>
                  <w:pPr>
                    <w:pStyle w:val="null3"/>
                    <w:jc w:val="left"/>
                  </w:pPr>
                  <w:r>
                    <w:rPr>
                      <w:sz w:val="21"/>
                    </w:rPr>
                    <w:t>5、支持网站漏洞评估能力，提供多种Web应用漏洞的安全检测，如“SQL注入、跨站脚本、文件包含、CSRF、目录遍历”等网站脆弱性漏洞。</w:t>
                  </w:r>
                </w:p>
                <w:p>
                  <w:pPr>
                    <w:pStyle w:val="null3"/>
                    <w:jc w:val="left"/>
                  </w:pPr>
                  <w:r>
                    <w:rPr>
                      <w:sz w:val="21"/>
                    </w:rPr>
                    <w:t>▲6、漏洞库漏洞信息大于210000+条，与CVE、CNNVD等主流标准兼容，提供详细的漏洞描述和对应的解决方案描述。支持通过多种维度对漏洞进行检索，包括：CVE ID、CNNVD ID、漏洞名称、漏洞风险等级等维度。可基于资产的版本信息，全面、快速进行漏洞版本比对，兼容CVE 、CNNVD等漏洞库</w:t>
                  </w:r>
                  <w:r>
                    <w:rPr>
                      <w:sz w:val="21"/>
                      <w:b/>
                    </w:rPr>
                    <w:t>（</w:t>
                  </w:r>
                  <w:r>
                    <w:rPr>
                      <w:sz w:val="21"/>
                      <w:b/>
                    </w:rPr>
                    <w:t>同时</w:t>
                  </w:r>
                  <w:r>
                    <w:rPr>
                      <w:sz w:val="21"/>
                      <w:b/>
                    </w:rPr>
                    <w:t>提供截图证明材料</w:t>
                  </w:r>
                  <w:r>
                    <w:rPr>
                      <w:sz w:val="21"/>
                      <w:b/>
                    </w:rPr>
                    <w:t>及</w:t>
                  </w:r>
                  <w:r>
                    <w:rPr>
                      <w:sz w:val="21"/>
                      <w:b/>
                    </w:rPr>
                    <w:t>服务工具合法来源的证明材料）</w:t>
                  </w:r>
                  <w:r>
                    <w:rPr>
                      <w:sz w:val="21"/>
                    </w:rPr>
                    <w:t>。</w:t>
                  </w:r>
                </w:p>
                <w:p>
                  <w:pPr>
                    <w:pStyle w:val="null3"/>
                    <w:jc w:val="left"/>
                  </w:pPr>
                  <w:r>
                    <w:rPr>
                      <w:sz w:val="21"/>
                    </w:rPr>
                    <w:t>▲7、支持漏洞跟踪管理，能够自动对漏洞状态进行处置，自动识别“新增、已修复、未修复”的漏洞，同时支持人工方式进行漏洞状态处置，以及编写漏洞备注</w:t>
                  </w:r>
                  <w:r>
                    <w:rPr>
                      <w:sz w:val="21"/>
                      <w:b/>
                    </w:rPr>
                    <w:t>（</w:t>
                  </w:r>
                  <w:r>
                    <w:rPr>
                      <w:sz w:val="21"/>
                      <w:b/>
                    </w:rPr>
                    <w:t>同时</w:t>
                  </w:r>
                  <w:r>
                    <w:rPr>
                      <w:sz w:val="21"/>
                      <w:b/>
                    </w:rPr>
                    <w:t>提供截图证明材料</w:t>
                  </w:r>
                  <w:r>
                    <w:rPr>
                      <w:sz w:val="21"/>
                      <w:b/>
                    </w:rPr>
                    <w:t>及</w:t>
                  </w:r>
                  <w:r>
                    <w:rPr>
                      <w:sz w:val="21"/>
                      <w:b/>
                    </w:rPr>
                    <w:t>服务工具合法来源的证明材料）</w:t>
                  </w:r>
                  <w:r>
                    <w:rPr>
                      <w:sz w:val="21"/>
                    </w:rPr>
                    <w:t>。</w:t>
                  </w:r>
                </w:p>
                <w:p>
                  <w:pPr>
                    <w:pStyle w:val="null3"/>
                    <w:jc w:val="left"/>
                  </w:pPr>
                  <w:r>
                    <w:rPr>
                      <w:sz w:val="21"/>
                    </w:rPr>
                    <w:t>8、支持20种以上常见设备和应用的配置检查，包括操作系统、应用中间件、数据库。</w:t>
                  </w:r>
                </w:p>
                <w:p>
                  <w:pPr>
                    <w:pStyle w:val="null3"/>
                    <w:jc w:val="left"/>
                  </w:pPr>
                  <w:r>
                    <w:rPr>
                      <w:sz w:val="21"/>
                    </w:rPr>
                    <w:t>▲9、要求采用欺骗防御相关技术实现失陷主机微隔离处置</w:t>
                  </w:r>
                  <w:r>
                    <w:rPr>
                      <w:sz w:val="21"/>
                      <w:b/>
                    </w:rPr>
                    <w:t>（</w:t>
                  </w:r>
                  <w:r>
                    <w:rPr>
                      <w:sz w:val="21"/>
                      <w:b/>
                    </w:rPr>
                    <w:t>同时</w:t>
                  </w:r>
                  <w:r>
                    <w:rPr>
                      <w:sz w:val="21"/>
                      <w:b/>
                    </w:rPr>
                    <w:t>提供截图证明材料</w:t>
                  </w:r>
                  <w:r>
                    <w:rPr>
                      <w:sz w:val="21"/>
                      <w:b/>
                    </w:rPr>
                    <w:t>及</w:t>
                  </w:r>
                  <w:r>
                    <w:rPr>
                      <w:sz w:val="21"/>
                      <w:b/>
                    </w:rPr>
                    <w:t>服务工具合法来源的证明材料）</w:t>
                  </w:r>
                  <w:r>
                    <w:rPr>
                      <w:sz w:val="21"/>
                    </w:rPr>
                    <w:t>。</w:t>
                  </w:r>
                </w:p>
                <w:p>
                  <w:pPr>
                    <w:pStyle w:val="null3"/>
                    <w:jc w:val="left"/>
                  </w:pPr>
                  <w:r>
                    <w:rPr>
                      <w:sz w:val="21"/>
                    </w:rPr>
                    <w:t>▲10、支持通过反向代理的方式，接入用户自身搭建的应用系统，从而实现完全仿真真实业务系统，生成完全仿真蜜罐</w:t>
                  </w:r>
                  <w:r>
                    <w:rPr>
                      <w:sz w:val="21"/>
                      <w:b/>
                    </w:rPr>
                    <w:t>（</w:t>
                  </w:r>
                  <w:r>
                    <w:rPr>
                      <w:sz w:val="21"/>
                      <w:b/>
                    </w:rPr>
                    <w:t>同时</w:t>
                  </w:r>
                  <w:r>
                    <w:rPr>
                      <w:sz w:val="21"/>
                      <w:b/>
                    </w:rPr>
                    <w:t>提供截图证明材料</w:t>
                  </w:r>
                  <w:r>
                    <w:rPr>
                      <w:sz w:val="21"/>
                      <w:b/>
                    </w:rPr>
                    <w:t>及</w:t>
                  </w:r>
                  <w:r>
                    <w:rPr>
                      <w:sz w:val="21"/>
                      <w:b/>
                    </w:rPr>
                    <w:t>服务工具合法来源的证明材料）</w:t>
                  </w:r>
                  <w:r>
                    <w:rPr>
                      <w:sz w:val="21"/>
                    </w:rPr>
                    <w:t>。</w:t>
                  </w:r>
                </w:p>
                <w:p>
                  <w:pPr>
                    <w:pStyle w:val="null3"/>
                    <w:jc w:val="left"/>
                  </w:pPr>
                  <w:r>
                    <w:rPr>
                      <w:sz w:val="21"/>
                    </w:rPr>
                    <w:t>11、参考MITRE ATT&amp;CK，采用多种取证技术手段，还原黑客攻击入侵蜜罐的过程，形成黑客攻击链，攻击链检测包含：“针对蜜罐的探测扫描、渗透攻击、攻陷蜜罐、在蜜罐上安装后门远控程序、利用蜜罐进行跳板攻击”等入侵过程。</w:t>
                  </w:r>
                </w:p>
                <w:p>
                  <w:pPr>
                    <w:pStyle w:val="null3"/>
                    <w:jc w:val="left"/>
                  </w:pPr>
                  <w:r>
                    <w:rPr>
                      <w:sz w:val="21"/>
                    </w:rPr>
                    <w:t>12、支持记录攻击者的“黑客社交画像”信息，包括社交账号、手机号、昵称、用户ID、头像等信息，支持多种黑客社交画像，至少包括：QQ、百度、哔哩哔哩等6种不同类型的社交账号。</w:t>
                  </w:r>
                </w:p>
                <w:p>
                  <w:pPr>
                    <w:pStyle w:val="null3"/>
                    <w:jc w:val="left"/>
                  </w:pPr>
                  <w:r>
                    <w:rPr>
                      <w:sz w:val="21"/>
                    </w:rPr>
                    <w:t>13、可警告攻击者，比如灌输国家网络安全法、告知已获得相关溯源信息，发挥蜜罐威慑作用，使攻击者放弃后续的攻击行为；可灵活指定对某个攻击源IP地址发起威慑反制。</w:t>
                  </w:r>
                </w:p>
                <w:p>
                  <w:pPr>
                    <w:pStyle w:val="null3"/>
                    <w:jc w:val="left"/>
                  </w:pPr>
                  <w:r>
                    <w:rPr>
                      <w:sz w:val="21"/>
                    </w:rPr>
                    <w:t>14、支持生成某个监测维度报表，包括：敏感词事件报表、敏感文件事件报表、黑链事件报表、失陷主机事件报表、可用性事件报表、域名劫持事件报表、漏洞列表等各个监测维度的报表。</w:t>
                  </w:r>
                </w:p>
                <w:p>
                  <w:pPr>
                    <w:pStyle w:val="null3"/>
                    <w:jc w:val="left"/>
                  </w:pPr>
                  <w:r>
                    <w:rPr>
                      <w:sz w:val="21"/>
                    </w:rPr>
                    <w:t>15、展示整体安全监测概况，呈现主机资产信息以及主机监测雷达图，包含：“弱口令、可入侵漏洞、高风险漏洞”等概况；呈现攻击监测诱饵监测概况，包含：“失陷主机统计、攻击链统计、威胁趋势”等。</w:t>
                  </w:r>
                </w:p>
                <w:p>
                  <w:pPr>
                    <w:pStyle w:val="null3"/>
                    <w:jc w:val="left"/>
                  </w:pPr>
                  <w:r>
                    <w:rPr>
                      <w:sz w:val="21"/>
                    </w:rPr>
                    <w:t>16、支持大屏展示功能，可视化呈现监测中心的数据，包括主机资产监测概况、攻击监测诱饵监测概况，大屏界面能够自动刷新监测数据，实时展示最新监测结果。</w:t>
                  </w:r>
                </w:p>
                <w:p>
                  <w:pPr>
                    <w:pStyle w:val="null3"/>
                    <w:jc w:val="left"/>
                  </w:pPr>
                  <w:r>
                    <w:rPr>
                      <w:sz w:val="21"/>
                    </w:rPr>
                    <w:t>▲17、具有中华人民共和国国家版权局颁发的与Web应用安全检测系统相关的计算机软件著作权登记证书</w:t>
                  </w:r>
                  <w:r>
                    <w:rPr>
                      <w:sz w:val="21"/>
                      <w:b/>
                    </w:rPr>
                    <w:t>（</w:t>
                  </w:r>
                  <w:r>
                    <w:rPr>
                      <w:sz w:val="21"/>
                      <w:b/>
                    </w:rPr>
                    <w:t>同时</w:t>
                  </w:r>
                  <w:r>
                    <w:rPr>
                      <w:sz w:val="21"/>
                      <w:b/>
                    </w:rPr>
                    <w:t>提供相关证书复印件</w:t>
                  </w:r>
                  <w:r>
                    <w:rPr>
                      <w:sz w:val="21"/>
                      <w:b/>
                    </w:rPr>
                    <w:t>及</w:t>
                  </w:r>
                  <w:r>
                    <w:rPr>
                      <w:sz w:val="21"/>
                      <w:b/>
                    </w:rPr>
                    <w:t>服务工具合法来源的证明材料）</w:t>
                  </w:r>
                  <w:r>
                    <w:rPr>
                      <w:sz w:val="21"/>
                    </w:rPr>
                    <w:t>。</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攻击面管理与漏洞扫描运营平台</w:t>
                  </w:r>
                </w:p>
              </w:tc>
              <w:tc>
                <w:tcPr>
                  <w:tcW w:type="dxa" w:w="5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rPr>
                    <w:t>资产探测</w:t>
                  </w:r>
                </w:p>
                <w:p>
                  <w:pPr>
                    <w:pStyle w:val="null3"/>
                    <w:jc w:val="left"/>
                  </w:pPr>
                  <w:r>
                    <w:rPr>
                      <w:sz w:val="21"/>
                    </w:rPr>
                    <w:t>▲1、可根据企业主体备案名称自动关联企业备案资产信息。并支持在仅输入目标企业名称的情况下进行使用</w:t>
                  </w:r>
                  <w:r>
                    <w:rPr>
                      <w:sz w:val="21"/>
                      <w:b/>
                    </w:rPr>
                    <w:t>（</w:t>
                  </w:r>
                  <w:r>
                    <w:rPr>
                      <w:sz w:val="21"/>
                      <w:b/>
                    </w:rPr>
                    <w:t>同时</w:t>
                  </w:r>
                  <w:r>
                    <w:rPr>
                      <w:sz w:val="21"/>
                      <w:b/>
                    </w:rPr>
                    <w:t>提供产品功能截图</w:t>
                  </w:r>
                  <w:r>
                    <w:rPr>
                      <w:sz w:val="21"/>
                      <w:b/>
                    </w:rPr>
                    <w:t>及</w:t>
                  </w:r>
                  <w:r>
                    <w:rPr>
                      <w:sz w:val="21"/>
                      <w:b/>
                    </w:rPr>
                    <w:t>服务工具合法来源的证明材料</w:t>
                  </w:r>
                  <w:r>
                    <w:rPr>
                      <w:sz w:val="21"/>
                      <w:b/>
                    </w:rPr>
                    <w:t>）</w:t>
                  </w:r>
                  <w:r>
                    <w:rPr>
                      <w:sz w:val="21"/>
                    </w:rPr>
                    <w:t>。</w:t>
                  </w:r>
                </w:p>
                <w:p>
                  <w:pPr>
                    <w:pStyle w:val="null3"/>
                    <w:jc w:val="left"/>
                  </w:pPr>
                  <w:r>
                    <w:rPr>
                      <w:sz w:val="21"/>
                    </w:rPr>
                    <w:t>2、发现暴露在互联网侧的域名资产及各种属性。包括：域名名称、主子域名关系、备案主体等。</w:t>
                  </w:r>
                </w:p>
                <w:p>
                  <w:pPr>
                    <w:pStyle w:val="null3"/>
                    <w:jc w:val="left"/>
                  </w:pPr>
                  <w:r>
                    <w:rPr>
                      <w:sz w:val="21"/>
                    </w:rPr>
                    <w:t>3、发现暴露在互联网侧的 IP 资产及各种属性。包括：IP 地址、端口数量、关联域名、归属地、运营商、ASN 等。</w:t>
                  </w:r>
                </w:p>
                <w:p>
                  <w:pPr>
                    <w:pStyle w:val="null3"/>
                    <w:jc w:val="left"/>
                  </w:pPr>
                  <w:r>
                    <w:rPr>
                      <w:sz w:val="21"/>
                    </w:rPr>
                    <w:t>4、支持全端口扫描探测及各种属性的识别。包括：端口、协议、服务、组件、版本等信息。</w:t>
                  </w:r>
                </w:p>
                <w:p>
                  <w:pPr>
                    <w:pStyle w:val="null3"/>
                    <w:jc w:val="left"/>
                  </w:pPr>
                  <w:r>
                    <w:rPr>
                      <w:sz w:val="21"/>
                    </w:rPr>
                    <w:t>5、基于网站发现结果，结合多种目录发现的方式，深度探测网站目录信息。包括：协议、端口、网站目录、层级、响应码等。</w:t>
                  </w:r>
                </w:p>
                <w:p>
                  <w:pPr>
                    <w:pStyle w:val="null3"/>
                    <w:jc w:val="left"/>
                  </w:pPr>
                  <w:r>
                    <w:rPr>
                      <w:sz w:val="21"/>
                    </w:rPr>
                    <w:t>▲6、基于网站分析结果，深度识别网站详情。包括：网站截图、网站标题、访问地址、状态码、渲染标题、网站所属业务类型等信息</w:t>
                  </w:r>
                  <w:r>
                    <w:rPr>
                      <w:sz w:val="21"/>
                      <w:b/>
                    </w:rPr>
                    <w:t>（</w:t>
                  </w:r>
                  <w:r>
                    <w:rPr>
                      <w:sz w:val="21"/>
                      <w:b/>
                    </w:rPr>
                    <w:t>同时</w:t>
                  </w:r>
                  <w:r>
                    <w:rPr>
                      <w:sz w:val="21"/>
                      <w:b/>
                    </w:rPr>
                    <w:t>提供产品功能截图</w:t>
                  </w:r>
                  <w:r>
                    <w:rPr>
                      <w:sz w:val="21"/>
                      <w:b/>
                    </w:rPr>
                    <w:t>及</w:t>
                  </w:r>
                  <w:r>
                    <w:rPr>
                      <w:sz w:val="21"/>
                      <w:b/>
                    </w:rPr>
                    <w:t>服务工具合法来源的证明材料）</w:t>
                  </w:r>
                  <w:r>
                    <w:rPr>
                      <w:sz w:val="21"/>
                    </w:rPr>
                    <w:t>。</w:t>
                  </w:r>
                </w:p>
                <w:p>
                  <w:pPr>
                    <w:pStyle w:val="null3"/>
                    <w:jc w:val="left"/>
                  </w:pPr>
                  <w:r>
                    <w:rPr>
                      <w:sz w:val="21"/>
                    </w:rPr>
                    <w:t>7、基于网站目录及相关信息，深度识别网站资产的指纹特征。包括：产品名称、组件、版本。</w:t>
                  </w:r>
                </w:p>
                <w:p>
                  <w:pPr>
                    <w:pStyle w:val="null3"/>
                    <w:jc w:val="left"/>
                  </w:pPr>
                  <w:r>
                    <w:rPr>
                      <w:sz w:val="21"/>
                    </w:rPr>
                    <w:t>8、指纹类型覆盖主流 WEB 应用、中间件、开发语言和框架、内容应用（cms等）、邮件服务、安全产品、开源组件、第三方组件等。</w:t>
                  </w:r>
                </w:p>
                <w:p>
                  <w:pPr>
                    <w:pStyle w:val="null3"/>
                    <w:jc w:val="left"/>
                  </w:pPr>
                  <w:r>
                    <w:rPr>
                      <w:sz w:val="21"/>
                    </w:rPr>
                    <w:t>二、风险检测</w:t>
                  </w:r>
                </w:p>
                <w:p>
                  <w:pPr>
                    <w:pStyle w:val="null3"/>
                    <w:jc w:val="left"/>
                  </w:pPr>
                  <w:r>
                    <w:rPr>
                      <w:sz w:val="21"/>
                    </w:rPr>
                    <w:t>1、支持 1300+ 高危漏洞 PoC 检测，PoC 检测漏洞类型包括但不限于：未授权访问、注入、远程命令执行、敏感信息泄露、文件上传等。</w:t>
                  </w:r>
                </w:p>
                <w:p>
                  <w:pPr>
                    <w:pStyle w:val="null3"/>
                    <w:jc w:val="left"/>
                  </w:pPr>
                  <w:r>
                    <w:rPr>
                      <w:sz w:val="21"/>
                    </w:rPr>
                    <w:t>2、支持智能化弱口令检测，包括但不限于 OpenSSH、MySQL、MSSQL、MongoDB、FTP/VSFTP/ProFTPD、MemCahe、Redis、SMB、SMTP、POP3、IMAP、Oracle、LDAP、PPTP、OpenVPN、PostgresSQL、RDP等。</w:t>
                  </w:r>
                </w:p>
                <w:p>
                  <w:pPr>
                    <w:pStyle w:val="null3"/>
                    <w:jc w:val="left"/>
                  </w:pPr>
                  <w:r>
                    <w:rPr>
                      <w:sz w:val="21"/>
                    </w:rPr>
                    <w:t>三、运营管理</w:t>
                  </w:r>
                </w:p>
                <w:p>
                  <w:pPr>
                    <w:pStyle w:val="null3"/>
                    <w:jc w:val="both"/>
                  </w:pPr>
                  <w:r>
                    <w:rPr>
                      <w:sz w:val="21"/>
                    </w:rPr>
                    <w:t>1、支持域名递归解析，支持泛域名解析降噪。</w:t>
                  </w:r>
                </w:p>
                <w:p>
                  <w:pPr>
                    <w:pStyle w:val="null3"/>
                    <w:jc w:val="both"/>
                  </w:pPr>
                  <w:r>
                    <w:rPr>
                      <w:sz w:val="21"/>
                    </w:rPr>
                    <w:t>2、支持多种风险详情内容展示，包括：处理状态、风险名称、关联主体、描述、危害、证明、修复建议、参考资料，首次发现时间及最近发现时间等。</w:t>
                  </w:r>
                </w:p>
                <w:p>
                  <w:pPr>
                    <w:pStyle w:val="null3"/>
                    <w:jc w:val="both"/>
                  </w:pPr>
                  <w:r>
                    <w:rPr>
                      <w:sz w:val="21"/>
                    </w:rPr>
                    <w:t>▲3、支持 HTTP 类风险判断请求及响应的展示</w:t>
                  </w:r>
                  <w:r>
                    <w:rPr>
                      <w:sz w:val="21"/>
                      <w:b/>
                    </w:rPr>
                    <w:t>（</w:t>
                  </w:r>
                  <w:r>
                    <w:rPr>
                      <w:sz w:val="21"/>
                      <w:b/>
                    </w:rPr>
                    <w:t>同时</w:t>
                  </w:r>
                  <w:r>
                    <w:rPr>
                      <w:sz w:val="21"/>
                      <w:b/>
                    </w:rPr>
                    <w:t>提供产品功能截图</w:t>
                  </w:r>
                  <w:r>
                    <w:rPr>
                      <w:sz w:val="21"/>
                      <w:b/>
                    </w:rPr>
                    <w:t>及</w:t>
                  </w:r>
                  <w:r>
                    <w:rPr>
                      <w:sz w:val="21"/>
                      <w:b/>
                    </w:rPr>
                    <w:t>服务工具合法来源的证明材料）</w:t>
                  </w:r>
                  <w:r>
                    <w:rPr>
                      <w:sz w:val="21"/>
                    </w:rPr>
                    <w:t>。</w:t>
                  </w:r>
                </w:p>
                <w:p>
                  <w:pPr>
                    <w:pStyle w:val="null3"/>
                    <w:jc w:val="both"/>
                  </w:pPr>
                  <w:r>
                    <w:rPr>
                      <w:sz w:val="21"/>
                    </w:rPr>
                    <w:t>4、支持扫描任务的手动运行及自动运行，支持查看任务执行过程。</w:t>
                  </w:r>
                </w:p>
                <w:p>
                  <w:pPr>
                    <w:pStyle w:val="null3"/>
                    <w:jc w:val="left"/>
                  </w:pPr>
                  <w:r>
                    <w:rPr>
                      <w:sz w:val="21"/>
                    </w:rPr>
                    <w:t>5、支持多种资产根据不同属性进行聚类展示。包括：网站状态码、网站标题、 WEB 框架、业务类型、应用组件、服务名称、端口号、服务类别、 ASN 、运营商、网段、地理位置等。</w:t>
                  </w:r>
                </w:p>
                <w:p>
                  <w:pPr>
                    <w:pStyle w:val="null3"/>
                    <w:jc w:val="left"/>
                  </w:pPr>
                  <w:r>
                    <w:rPr>
                      <w:sz w:val="21"/>
                    </w:rPr>
                    <w:t>四、告警转发</w:t>
                  </w:r>
                </w:p>
                <w:p>
                  <w:pPr>
                    <w:pStyle w:val="null3"/>
                    <w:jc w:val="both"/>
                  </w:pPr>
                  <w:r>
                    <w:rPr>
                      <w:sz w:val="21"/>
                    </w:rPr>
                    <w:t>▲1、支持原厂自有公众号进行告警，提供公众号告警样例截图</w:t>
                  </w:r>
                  <w:r>
                    <w:rPr>
                      <w:sz w:val="21"/>
                      <w:b/>
                    </w:rPr>
                    <w:t>（</w:t>
                  </w:r>
                  <w:r>
                    <w:rPr>
                      <w:sz w:val="21"/>
                      <w:b/>
                    </w:rPr>
                    <w:t>同时提供</w:t>
                  </w:r>
                  <w:r>
                    <w:rPr>
                      <w:sz w:val="21"/>
                      <w:b/>
                    </w:rPr>
                    <w:t>原厂自有公众号证明文件</w:t>
                  </w:r>
                  <w:r>
                    <w:rPr>
                      <w:sz w:val="21"/>
                      <w:b/>
                    </w:rPr>
                    <w:t>及</w:t>
                  </w:r>
                  <w:r>
                    <w:rPr>
                      <w:sz w:val="21"/>
                      <w:b/>
                    </w:rPr>
                    <w:t>服务工具合法来源的证明材料）</w:t>
                  </w:r>
                  <w:r>
                    <w:rPr>
                      <w:sz w:val="21"/>
                    </w:rPr>
                    <w:t>。</w:t>
                  </w:r>
                </w:p>
                <w:p>
                  <w:pPr>
                    <w:pStyle w:val="null3"/>
                    <w:jc w:val="both"/>
                  </w:pPr>
                  <w:r>
                    <w:rPr>
                      <w:sz w:val="21"/>
                    </w:rPr>
                    <w:t>2、支持邮件的方式发送告警。</w:t>
                  </w:r>
                </w:p>
                <w:p>
                  <w:pPr>
                    <w:pStyle w:val="null3"/>
                    <w:jc w:val="both"/>
                  </w:pPr>
                  <w:r>
                    <w:rPr>
                      <w:sz w:val="21"/>
                    </w:rPr>
                    <w:t>3、支持钉钉机器人发送告警。</w:t>
                  </w:r>
                </w:p>
                <w:p>
                  <w:pPr>
                    <w:pStyle w:val="null3"/>
                    <w:jc w:val="left"/>
                  </w:pPr>
                  <w:r>
                    <w:rPr>
                      <w:sz w:val="21"/>
                    </w:rPr>
                    <w:t>4、支持企业微信机器人发送告警。</w:t>
                  </w:r>
                </w:p>
                <w:p>
                  <w:pPr>
                    <w:pStyle w:val="null3"/>
                    <w:jc w:val="left"/>
                  </w:pPr>
                  <w:r>
                    <w:rPr>
                      <w:sz w:val="21"/>
                    </w:rPr>
                    <w:t>五、交付及报告</w:t>
                  </w:r>
                </w:p>
                <w:p>
                  <w:pPr>
                    <w:pStyle w:val="null3"/>
                    <w:jc w:val="both"/>
                  </w:pPr>
                  <w:r>
                    <w:rPr>
                      <w:sz w:val="21"/>
                    </w:rPr>
                    <w:t>▲1、SAAS 模式交付，微信扫码即可直接注册使⽤</w:t>
                  </w:r>
                  <w:r>
                    <w:rPr>
                      <w:sz w:val="21"/>
                      <w:b/>
                    </w:rPr>
                    <w:t>（</w:t>
                  </w:r>
                  <w:r>
                    <w:rPr>
                      <w:sz w:val="21"/>
                      <w:b/>
                    </w:rPr>
                    <w:t>同时</w:t>
                  </w:r>
                  <w:r>
                    <w:rPr>
                      <w:sz w:val="21"/>
                      <w:b/>
                    </w:rPr>
                    <w:t>提供产品微信登陆页面截图</w:t>
                  </w:r>
                  <w:r>
                    <w:rPr>
                      <w:sz w:val="21"/>
                      <w:b/>
                    </w:rPr>
                    <w:t>及</w:t>
                  </w:r>
                  <w:r>
                    <w:rPr>
                      <w:sz w:val="21"/>
                      <w:b/>
                    </w:rPr>
                    <w:t>服务工具合法来源的证明材料）</w:t>
                  </w:r>
                  <w:r>
                    <w:rPr>
                      <w:sz w:val="21"/>
                    </w:rPr>
                    <w:t>。</w:t>
                  </w:r>
                </w:p>
                <w:p>
                  <w:pPr>
                    <w:pStyle w:val="null3"/>
                    <w:jc w:val="both"/>
                  </w:pPr>
                  <w:r>
                    <w:rPr>
                      <w:sz w:val="21"/>
                    </w:rPr>
                    <w:t>▲2、支持报告的生成及下载，支持任意时间手动生成报告。报告内容至少包含漏洞详情、资产详情及上述内容的变化趋势图</w:t>
                  </w:r>
                  <w:r>
                    <w:rPr>
                      <w:sz w:val="21"/>
                      <w:b/>
                    </w:rPr>
                    <w:t>（</w:t>
                  </w:r>
                  <w:r>
                    <w:rPr>
                      <w:sz w:val="21"/>
                      <w:b/>
                    </w:rPr>
                    <w:t>同时</w:t>
                  </w:r>
                  <w:r>
                    <w:rPr>
                      <w:sz w:val="21"/>
                      <w:b/>
                    </w:rPr>
                    <w:t>提供产品报告样例</w:t>
                  </w:r>
                  <w:r>
                    <w:rPr>
                      <w:sz w:val="21"/>
                      <w:b/>
                    </w:rPr>
                    <w:t>及</w:t>
                  </w:r>
                  <w:r>
                    <w:rPr>
                      <w:sz w:val="21"/>
                      <w:b/>
                    </w:rPr>
                    <w:t>服务工具合法来源的证明材料）</w:t>
                  </w:r>
                  <w:r>
                    <w:rPr>
                      <w:sz w:val="21"/>
                    </w:rPr>
                    <w:t>。</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1.采购代理机构：本项目是指广东智鸿工程咨询有限公司，负责整个采购活动的组织，依法负责编制和发布磋商文件，对磋商文件拥有最终的解释权，不以任何身份出任磋商小组成员。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佛山市教育局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采购机构代理服务收费标准：以采购包中标金额作为招标代理服务费的计算基数。 招标代理服务费收费标准按中华人民共和国国家发展计划委员会颁发的计价格[2002]1980号、国家发改委[2003]857号及发改价格[2011]534号文规定的“服务类”计算。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其他，注意事项，1．响应供应商须按磋商文件要求提交与评审标准相关的各类有效资料，如未按要求提交的，该项评分为零分。2．合同签订时间补充说明，按照佛山市政务服务数据管理局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3．政府采购合同融资，是指参与政府采购的中小微企业供应商（以下简称供应商），凭借中标（成交）通知书或政府采购合同向金融机构申请融资，金融机构以供应商信用审查和政府采购信誉为基础，按便捷贷款程序和优惠利率，为其发放无财产抵押贷款的一种融资模式。4．政府采购合同融资相关政策，《广东省财政厅广东省地方金融监督管理局中 国人民银行广州分行关于开展省级政府采购合同融资工作的通知》（粤财采购〔2020〕6 号）、《佛山市政务服务数据管理局 佛山市财政局 佛山市金融工作局 中国人民银行佛山市中心支 行关于支持政府采购合同融资的通知》（佛政数函〔2021〕77号）等相关文件。5．本磋商文件内要求的扫描件或复印件，可以是原件的扫描件，也可以是复印件的扫描件。扫描件性质上可视为复印件。6．成交供应商在签订合同前根据采购人实际需求提供一套响应文件盖章正本进行备案。</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自开始解密后30分钟内，响应供应商按照磋商文件要求对电子响应文件进行解密。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广东智鸿工程咨询有限公司</w:t>
      </w:r>
      <w:r>
        <w:rPr/>
        <w:t>代收。具体操作要求详见</w:t>
      </w:r>
      <w:r>
        <w:rPr/>
        <w:t>广东智鸿工程咨询有限公司</w:t>
      </w:r>
      <w:r>
        <w:rPr/>
        <w:t>有关指引，递交事宜请自行咨询</w:t>
      </w:r>
      <w:r>
        <w:rPr/>
        <w:t>广东智鸿工程咨询有限公司</w:t>
      </w:r>
      <w:r>
        <w:rPr/>
        <w:t>；请各供应商在响应文件递交截止时间前按须知前附表规定的金额递交至</w:t>
      </w:r>
      <w:r>
        <w:rPr/>
        <w:t>广东智鸿工程咨询有限公司</w:t>
      </w:r>
      <w:r>
        <w:rPr/>
        <w:t>，到账情况以开启时</w:t>
      </w:r>
      <w:r>
        <w:rPr/>
        <w:t>广东智鸿工程咨询有限公司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邓小姐</w:t>
      </w:r>
    </w:p>
    <w:p>
      <w:pPr>
        <w:pStyle w:val="null3"/>
        <w:ind w:firstLine="480"/>
      </w:pPr>
      <w:r>
        <w:rPr/>
        <w:t>电话：</w:t>
      </w:r>
      <w:r>
        <w:rPr/>
        <w:t>0757-82131230</w:t>
      </w:r>
    </w:p>
    <w:p>
      <w:pPr>
        <w:pStyle w:val="null3"/>
        <w:ind w:firstLine="480"/>
      </w:pPr>
      <w:r>
        <w:rPr/>
        <w:t>传真：</w:t>
      </w:r>
      <w:r>
        <w:rPr/>
        <w:t>/</w:t>
      </w:r>
    </w:p>
    <w:p>
      <w:pPr>
        <w:pStyle w:val="null3"/>
        <w:ind w:firstLine="480"/>
      </w:pPr>
      <w:r>
        <w:rPr/>
        <w:t>邮箱：</w:t>
      </w:r>
      <w:r>
        <w:rPr/>
        <w:t>gdzh_fs@163.com</w:t>
      </w:r>
    </w:p>
    <w:p>
      <w:pPr>
        <w:pStyle w:val="null3"/>
        <w:ind w:firstLine="480"/>
      </w:pPr>
      <w:r>
        <w:rPr/>
        <w:t>地址：</w:t>
      </w:r>
      <w:r>
        <w:rPr/>
        <w:t>佛山市禅城区季华一路28号智慧新城T1栋0603</w:t>
      </w:r>
    </w:p>
    <w:p>
      <w:pPr>
        <w:pStyle w:val="null3"/>
        <w:ind w:firstLine="480"/>
      </w:pPr>
      <w:r>
        <w:rPr/>
        <w:t>邮编：</w:t>
      </w:r>
      <w:r>
        <w:rPr/>
        <w:t>528200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政府采购监督管理机构名称：佛山市财政局(政府采购监管科)</w:t>
      </w:r>
    </w:p>
    <w:p>
      <w:pPr>
        <w:pStyle w:val="null3"/>
      </w:pPr>
      <w:r>
        <w:rPr/>
        <w:t>地 址：佛山市禅城区季华五路8号财政大厦8楼</w:t>
      </w:r>
    </w:p>
    <w:p>
      <w:pPr>
        <w:pStyle w:val="null3"/>
      </w:pPr>
      <w:r>
        <w:rPr/>
        <w:t>电 话：0757-83282245</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佛山市教育网站漏洞扫描服务（2024年-2026年）)：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广东智鸿工程咨询有限公司</w:t>
      </w:r>
      <w:r>
        <w:rPr/>
        <w:t>统一对外发布。</w:t>
      </w:r>
    </w:p>
    <w:p>
      <w:pPr>
        <w:pStyle w:val="null3"/>
        <w:ind w:firstLine="480"/>
      </w:pPr>
      <w:r>
        <w:rPr/>
        <w:t>（2）对</w:t>
      </w:r>
      <w:r>
        <w:rPr/>
        <w:t>广东智鸿工程咨询有限公司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采购包1（佛山市教育网站漏洞扫描服务（2024年-2026年））：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采购包1（佛山市教育网站漏洞扫描服务（2024年-2026年））：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提供投标截止日前6个月内任意1个月依法缴纳税收和社会保障资金的相关材料或《政府采购供应商资格信用承诺函》。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由第三方会计师事务所出具的审计报告，能清晰显示第三方会计师事务所的印章，并能反映审计结论或提供投标截止日前6个月内任意1个月基本开户行出具的资信证明）或《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参照投标（报价）函，《政府采购供应商资格信用承诺函》相关承诺格式内容。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采购包1（佛山市教育网站漏洞扫描服务（2024年-2026年））：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按照磋商文件规定要求签署 、盖章且响应文件有法定代 表人签字或盖章，或签字人有法定代表人有效授权书的</w:t>
            </w:r>
          </w:p>
        </w:tc>
        <w:tc>
          <w:tcPr>
            <w:tcW w:type="dxa" w:w="4238"/>
          </w:tcPr>
          <w:p>
            <w:pPr>
              <w:pStyle w:val="null3"/>
            </w:pPr>
            <w:r>
              <w:rPr/>
              <w:t>按照磋商文件规定要求签署、盖章且响应文件有法定代表人签字或盖章，或签字人有法定代表人有效授权书的。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响应承诺函已提交并符合磋 商文件要求的</w:t>
            </w:r>
          </w:p>
        </w:tc>
        <w:tc>
          <w:tcPr>
            <w:tcW w:type="dxa" w:w="4238"/>
          </w:tcPr>
          <w:p>
            <w:pPr>
              <w:pStyle w:val="null3"/>
            </w:pPr>
            <w:r>
              <w:rPr/>
              <w:t>响应承诺函已提交并符合磋商文件要求的。</w:t>
            </w:r>
          </w:p>
        </w:tc>
      </w:tr>
      <w:tr>
        <w:tc>
          <w:tcPr>
            <w:tcW w:type="dxa" w:w="890"/>
          </w:tcPr>
          <w:p>
            <w:pPr>
              <w:pStyle w:val="null3"/>
            </w:pPr>
            <w:r>
              <w:rPr/>
              <w:t>3</w:t>
            </w:r>
          </w:p>
        </w:tc>
        <w:tc>
          <w:tcPr>
            <w:tcW w:type="dxa" w:w="3178"/>
          </w:tcPr>
          <w:p>
            <w:pPr>
              <w:pStyle w:val="null3"/>
            </w:pPr>
            <w:r>
              <w:rPr/>
              <w:t>报价没有超出采购预算金额或最高限价的</w:t>
            </w:r>
          </w:p>
        </w:tc>
        <w:tc>
          <w:tcPr>
            <w:tcW w:type="dxa" w:w="4238"/>
          </w:tcPr>
          <w:p>
            <w:pPr>
              <w:pStyle w:val="null3"/>
            </w:pPr>
            <w:r>
              <w:rPr/>
              <w:t>报价没有超出采购预算金额或最高限价的。</w:t>
            </w:r>
          </w:p>
        </w:tc>
      </w:tr>
      <w:tr>
        <w:tc>
          <w:tcPr>
            <w:tcW w:type="dxa" w:w="890"/>
          </w:tcPr>
          <w:p>
            <w:pPr>
              <w:pStyle w:val="null3"/>
            </w:pPr>
            <w:r>
              <w:rPr/>
              <w:t>4</w:t>
            </w:r>
          </w:p>
        </w:tc>
        <w:tc>
          <w:tcPr>
            <w:tcW w:type="dxa" w:w="3178"/>
          </w:tcPr>
          <w:p>
            <w:pPr>
              <w:pStyle w:val="null3"/>
            </w:pPr>
            <w:r>
              <w:rPr/>
              <w:t>“★”号条款满足磋商文件要求</w:t>
            </w:r>
          </w:p>
        </w:tc>
        <w:tc>
          <w:tcPr>
            <w:tcW w:type="dxa" w:w="4238"/>
          </w:tcPr>
          <w:p>
            <w:pPr>
              <w:pStyle w:val="null3"/>
            </w:pPr>
            <w:r>
              <w:rPr/>
              <w:t>响应文件完全满足磋商文件中实质性响应条款（即标注“★”号条款）（参考《技术和服务要求响应表》及《商务条件响应表》）。</w:t>
            </w:r>
          </w:p>
        </w:tc>
      </w:tr>
      <w:tr>
        <w:tc>
          <w:tcPr>
            <w:tcW w:type="dxa" w:w="890"/>
          </w:tcPr>
          <w:p>
            <w:pPr>
              <w:pStyle w:val="null3"/>
            </w:pPr>
            <w:r>
              <w:rPr/>
              <w:t>5</w:t>
            </w:r>
          </w:p>
        </w:tc>
        <w:tc>
          <w:tcPr>
            <w:tcW w:type="dxa" w:w="3178"/>
          </w:tcPr>
          <w:p>
            <w:pPr>
              <w:pStyle w:val="null3"/>
            </w:pPr>
            <w:r>
              <w:rPr/>
              <w:t>响应文件未含有采购人不能接受的附加条件的</w:t>
            </w:r>
          </w:p>
        </w:tc>
        <w:tc>
          <w:tcPr>
            <w:tcW w:type="dxa" w:w="4238"/>
          </w:tcPr>
          <w:p>
            <w:pPr>
              <w:pStyle w:val="null3"/>
            </w:pPr>
            <w:r>
              <w:rPr/>
              <w:t>响应文件未含有采购人不能接受的附加条件的。</w:t>
            </w:r>
          </w:p>
        </w:tc>
      </w:tr>
      <w:tr>
        <w:tc>
          <w:tcPr>
            <w:tcW w:type="dxa" w:w="890"/>
          </w:tcPr>
          <w:p>
            <w:pPr>
              <w:pStyle w:val="null3"/>
            </w:pPr>
            <w:r>
              <w:rPr/>
              <w:t>6</w:t>
            </w:r>
          </w:p>
        </w:tc>
        <w:tc>
          <w:tcPr>
            <w:tcW w:type="dxa" w:w="3178"/>
          </w:tcPr>
          <w:p>
            <w:pPr>
              <w:pStyle w:val="null3"/>
            </w:pPr>
            <w:r>
              <w:rPr/>
              <w:t>没有违反有关法律、法规、规章要求，被视为磋商无效的其他情况</w:t>
            </w:r>
          </w:p>
        </w:tc>
        <w:tc>
          <w:tcPr>
            <w:tcW w:type="dxa" w:w="4238"/>
          </w:tcPr>
          <w:p>
            <w:pPr>
              <w:pStyle w:val="null3"/>
            </w:pPr>
            <w:r>
              <w:rPr/>
              <w:t>没有违反有关法律、法规、规章要求，被视为磋商无效的其他情况。</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采购包1(佛山市教育网站漏洞扫描服务（2024年-2026年）):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“▲”服务参数响应程度 (17.0分)</w:t>
            </w:r>
          </w:p>
        </w:tc>
        <w:tc>
          <w:tcPr>
            <w:tcW w:type="dxa" w:w="5076"/>
          </w:tcPr>
          <w:p>
            <w:pPr>
              <w:pStyle w:val="null3"/>
              <w:jc w:val="left"/>
            </w:pPr>
            <w:r>
              <w:rPr/>
              <w:t>据响应供应商的“技术条款响应表”响应情况评分： 1、对标注“▲”项未响应、不满足或负偏离的每项扣1分； 注：带“▲”条款中如有要求提供证明材料的，应按要求提供证明材料，未提供的视为不满足。</w:t>
            </w:r>
          </w:p>
        </w:tc>
      </w:tr>
      <w:tr>
        <w:tc>
          <w:tcPr>
            <w:tcW w:type="dxa" w:w="922"/>
            <w:gridSpan w:val="2"/>
            <w:vMerge/>
          </w:tcPr>
          <w:p/>
        </w:tc>
        <w:tc>
          <w:tcPr>
            <w:tcW w:type="dxa" w:w="2307"/>
          </w:tcPr>
          <w:p>
            <w:pPr>
              <w:pStyle w:val="null3"/>
              <w:jc w:val="left"/>
            </w:pPr>
            <w:r>
              <w:rPr/>
              <w:t>项目经理 (10.0分)</w:t>
            </w:r>
          </w:p>
        </w:tc>
        <w:tc>
          <w:tcPr>
            <w:tcW w:type="dxa" w:w="5076"/>
          </w:tcPr>
          <w:p>
            <w:pPr>
              <w:pStyle w:val="null3"/>
              <w:jc w:val="left"/>
            </w:pPr>
            <w:r>
              <w:rPr/>
              <w:t>拟任项目经理人员（仅限一人）具有以下资质证书，每项得2分，最高得10分： 1、具有信息安全等级测评师证书 2、具有注册信息安全专业人员证书（CISP） 3、具有信息安全保障人员（CISAW）认证证书（认证方向安全集成专业级） 4、具有信息安全保障人员（CISAW）认证证书（认证方向安全运维专业级） 5、具有国家重要信息系统人员保护证书 注：须同时提供以上人员的有效证书复印件和在供应商公司任职的外部证明材料（在本项目响应截止日之前三个月以内的任意一个月的代缴社保证明或代缴个人所得税证明），不提供不得分。</w:t>
            </w:r>
          </w:p>
        </w:tc>
      </w:tr>
      <w:tr>
        <w:tc>
          <w:tcPr>
            <w:tcW w:type="dxa" w:w="922"/>
            <w:gridSpan w:val="2"/>
            <w:vMerge/>
          </w:tcPr>
          <w:p/>
        </w:tc>
        <w:tc>
          <w:tcPr>
            <w:tcW w:type="dxa" w:w="2307"/>
          </w:tcPr>
          <w:p>
            <w:pPr>
              <w:pStyle w:val="null3"/>
              <w:jc w:val="left"/>
            </w:pPr>
            <w:r>
              <w:rPr/>
              <w:t>现场技术负责人任职要求 (8.0分)</w:t>
            </w:r>
          </w:p>
        </w:tc>
        <w:tc>
          <w:tcPr>
            <w:tcW w:type="dxa" w:w="5076"/>
          </w:tcPr>
          <w:p>
            <w:pPr>
              <w:pStyle w:val="null3"/>
              <w:jc w:val="left"/>
            </w:pPr>
            <w:r>
              <w:rPr/>
              <w:t>现场技术负责人（仅限一人，不得与其他职位兼任），每项得2分，最高得8分： 1、具有注册信息安全专业人员证书（CISP）； 2、具有ITSS IT服务经理证书； 3、具有信息安全保障人员（CISAW）认证证书（认证方向应急服务专业级）； 4、具有信息安全保障人员（CISAW）认证证书（认证方向安全集成专业级）； 注：须同时提供以上人员的有效证书复印件和在供应商公司任职的外部证明材料（在本项目响应截止日之前三个月以内的任意一个月的代缴社保证明或代缴个人所得税证明），不提供不得分。</w:t>
            </w:r>
          </w:p>
        </w:tc>
      </w:tr>
      <w:tr>
        <w:tc>
          <w:tcPr>
            <w:tcW w:type="dxa" w:w="922"/>
            <w:gridSpan w:val="2"/>
            <w:vMerge/>
          </w:tcPr>
          <w:p/>
        </w:tc>
        <w:tc>
          <w:tcPr>
            <w:tcW w:type="dxa" w:w="2307"/>
          </w:tcPr>
          <w:p>
            <w:pPr>
              <w:pStyle w:val="null3"/>
              <w:jc w:val="left"/>
            </w:pPr>
            <w:r>
              <w:rPr/>
              <w:t>项目团队成员任职要求 (4.0分)</w:t>
            </w:r>
          </w:p>
        </w:tc>
        <w:tc>
          <w:tcPr>
            <w:tcW w:type="dxa" w:w="5076"/>
          </w:tcPr>
          <w:p>
            <w:pPr>
              <w:pStyle w:val="null3"/>
              <w:jc w:val="left"/>
            </w:pPr>
            <w:r>
              <w:rPr/>
              <w:t>除项目经理、现场技术负责人外，本项目服务团队具备以下人员： 1、具有注册信息安全专业人员证书（CISP），每个得2分，最多得4分； 注：须同时提供提供以上人员的有效证书复印件和在供应商公司任职的外部证明材料（在本项目响应截止日之前三个月以内的任意一个月的代缴社保证明或代缴个人所得税证明），不提供不得分。</w:t>
            </w:r>
          </w:p>
        </w:tc>
      </w:tr>
      <w:tr>
        <w:tc>
          <w:tcPr>
            <w:tcW w:type="dxa" w:w="922"/>
            <w:gridSpan w:val="2"/>
            <w:vMerge/>
          </w:tcPr>
          <w:p/>
        </w:tc>
        <w:tc>
          <w:tcPr>
            <w:tcW w:type="dxa" w:w="2307"/>
          </w:tcPr>
          <w:p>
            <w:pPr>
              <w:pStyle w:val="null3"/>
              <w:jc w:val="left"/>
            </w:pPr>
            <w:r>
              <w:rPr/>
              <w:t>项目服务方案 (8.0分)</w:t>
            </w:r>
            <w:r>
              <w:rPr/>
              <w:t>，（等次分值选择：</w:t>
            </w:r>
            <w:r>
              <w:rPr/>
              <w:t>0.0;</w:t>
            </w:r>
            <w:r>
              <w:rPr/>
              <w:t>2.0;</w:t>
            </w:r>
            <w:r>
              <w:rPr/>
              <w:t>5.0;</w:t>
            </w:r>
            <w:r>
              <w:rPr/>
              <w:t>8.0;</w:t>
            </w:r>
            <w:r>
              <w:rPr/>
              <w:t>）</w:t>
            </w:r>
          </w:p>
        </w:tc>
        <w:tc>
          <w:tcPr>
            <w:tcW w:type="dxa" w:w="5076"/>
          </w:tcPr>
          <w:p>
            <w:pPr>
              <w:pStyle w:val="null3"/>
              <w:jc w:val="left"/>
            </w:pPr>
            <w:r>
              <w:rPr/>
              <w:t>根据各响应人提出的服务方案进行评审： 服务方案合理、实用，操作性强，管理结构清晰，得8分； 服务方案较为合理、实用，操作性较强，管理结构较清晰，得5分； 服务方案合理性、实用性、操作性一般，管理结构基本清晰，得2分。 不提供，不得分。</w:t>
            </w:r>
          </w:p>
        </w:tc>
      </w:tr>
      <w:tr>
        <w:tc>
          <w:tcPr>
            <w:tcW w:type="dxa" w:w="922"/>
            <w:gridSpan w:val="2"/>
            <w:vMerge/>
          </w:tcPr>
          <w:p/>
        </w:tc>
        <w:tc>
          <w:tcPr>
            <w:tcW w:type="dxa" w:w="2307"/>
          </w:tcPr>
          <w:p>
            <w:pPr>
              <w:pStyle w:val="null3"/>
              <w:jc w:val="left"/>
            </w:pPr>
            <w:r>
              <w:rPr/>
              <w:t>项目管理与质量保障措施 (8.0分)</w:t>
            </w:r>
            <w:r>
              <w:rPr/>
              <w:t>，（等次分值选择：</w:t>
            </w:r>
            <w:r>
              <w:rPr/>
              <w:t>0.0;</w:t>
            </w:r>
            <w:r>
              <w:rPr/>
              <w:t>2.0;</w:t>
            </w:r>
            <w:r>
              <w:rPr/>
              <w:t>5.0;</w:t>
            </w:r>
            <w:r>
              <w:rPr/>
              <w:t>8.0;</w:t>
            </w:r>
            <w:r>
              <w:rPr/>
              <w:t>）</w:t>
            </w:r>
          </w:p>
        </w:tc>
        <w:tc>
          <w:tcPr>
            <w:tcW w:type="dxa" w:w="5076"/>
          </w:tcPr>
          <w:p>
            <w:pPr>
              <w:pStyle w:val="null3"/>
              <w:jc w:val="left"/>
            </w:pPr>
            <w:r>
              <w:rPr/>
              <w:t>根据各响应人提出的项目管理与质量保障措施进行评审： 对项目管理范围及服务内容理解全面深刻，项目组织机构设置合理，管理与服务措施科学得当且可实施性强，得8分； 对项目管理范围及服务内容理解较深刻，项目组织机构设置较合理，管理与服务措施较科学得当且基本可实施，得5分； 对项目管理范围及服务内容理解不深刻，项目组织机构设置、管理与服务措施的合理性、实用性和操作性差，得2分；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响应供应商承担过同类项目，每提供一份得1分，最高得5分。 注： 1、时间从2021年1月1日起至投标登记截止时间为止，以合同签订时间为准。 2、同类项目是指信息网络安全整改服务及漏洞扫描服务或信息安全渗透测试服务或网络安全服务等。 3、需提供合同复印件，合同复印件至少须包括合同首页、合同盖章页、合同价格页和合同实施内容页的内容。</w:t>
            </w:r>
          </w:p>
        </w:tc>
      </w:tr>
      <w:tr>
        <w:tc>
          <w:tcPr>
            <w:tcW w:type="dxa" w:w="922"/>
            <w:gridSpan w:val="2"/>
            <w:vMerge/>
          </w:tcPr>
          <w:p/>
        </w:tc>
        <w:tc>
          <w:tcPr>
            <w:tcW w:type="dxa" w:w="2307"/>
          </w:tcPr>
          <w:p>
            <w:pPr>
              <w:pStyle w:val="null3"/>
              <w:jc w:val="left"/>
            </w:pPr>
            <w:r>
              <w:rPr/>
              <w:t>行业实力资质 (12.0分)</w:t>
            </w:r>
          </w:p>
        </w:tc>
        <w:tc>
          <w:tcPr>
            <w:tcW w:type="dxa" w:w="5076"/>
          </w:tcPr>
          <w:p>
            <w:pPr>
              <w:pStyle w:val="null3"/>
              <w:jc w:val="left"/>
            </w:pPr>
            <w:r>
              <w:rPr/>
              <w:t>响应供应商具有信息安全服务（信息安全应急处理）资质认证证书、信息安全服务(信息系统安全集成服务)资质认证证书、信息安全服务(信息系统安全运维服务)资质认证证书、信息安全服务（信息安全风险评估服务）资质认证证书，每提供1个得3分，最高得12分。 注：须提供有效期内认证证书复印件作为证明文件，不提供证明文件或专家无法认定的不得分。</w:t>
            </w:r>
          </w:p>
        </w:tc>
      </w:tr>
      <w:tr>
        <w:tc>
          <w:tcPr>
            <w:tcW w:type="dxa" w:w="922"/>
            <w:gridSpan w:val="2"/>
            <w:vMerge/>
          </w:tcPr>
          <w:p/>
        </w:tc>
        <w:tc>
          <w:tcPr>
            <w:tcW w:type="dxa" w:w="2307"/>
          </w:tcPr>
          <w:p>
            <w:pPr>
              <w:pStyle w:val="null3"/>
              <w:jc w:val="left"/>
            </w:pPr>
            <w:r>
              <w:rPr/>
              <w:t>体系认证证书 (10.0分)</w:t>
            </w:r>
          </w:p>
        </w:tc>
        <w:tc>
          <w:tcPr>
            <w:tcW w:type="dxa" w:w="5076"/>
          </w:tcPr>
          <w:p>
            <w:pPr>
              <w:pStyle w:val="null3"/>
              <w:jc w:val="left"/>
            </w:pPr>
            <w:r>
              <w:rPr/>
              <w:t>响应供应商具有质量管理体系、信息安全管理体系、信息技术服务管理体系、环境管理体系、职业健康安全管理体系认证证书的，每提供一项得2分，最高10分，不提供不得分。 注：须同时提供有效期内认证证书复印件及在全国认证认可信息公共服务平台(网址：“http://cx.cnca.cn/”)查询“有效”截图作为证明文件，不提供证明文件或专家无法认定的不得分。</w:t>
            </w:r>
          </w:p>
        </w:tc>
      </w:tr>
      <w:tr>
        <w:tc>
          <w:tcPr>
            <w:tcW w:type="dxa" w:w="922"/>
            <w:gridSpan w:val="2"/>
            <w:vMerge/>
          </w:tcPr>
          <w:p/>
        </w:tc>
        <w:tc>
          <w:tcPr>
            <w:tcW w:type="dxa" w:w="2307"/>
          </w:tcPr>
          <w:p>
            <w:pPr>
              <w:pStyle w:val="null3"/>
              <w:jc w:val="left"/>
            </w:pPr>
            <w:r>
              <w:rPr/>
              <w:t>响应供应商综合实力 (8.0分)</w:t>
            </w:r>
          </w:p>
        </w:tc>
        <w:tc>
          <w:tcPr>
            <w:tcW w:type="dxa" w:w="5076"/>
          </w:tcPr>
          <w:p>
            <w:pPr>
              <w:pStyle w:val="null3"/>
              <w:jc w:val="left"/>
            </w:pPr>
            <w:r>
              <w:rPr/>
              <w:t>1.响应供应商是省公安厅网警总队、市公安网警支队、市级网信办技术支撑单位的，每提供1个授权证明得2分，本单项最高得6分； 2.响应供应商获得市级或以上网络安全攻防演练类奖项的，每提供1个得2分，本单项最高得2分。 注：1需提供支撑单位的授权书或相关证明材料；2需提供奖项证书复印件作证明材料</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合同文本</w:t>
      </w:r>
    </w:p>
    <w:p>
      <w:pPr>
        <w:pStyle w:val="null3"/>
      </w:pPr>
      <w:r>
        <w:rPr>
          <w:sz w:val="72"/>
          <w:color w:val="000000"/>
        </w:rPr>
        <w:t>佛山市政府采购项目</w:t>
      </w:r>
    </w:p>
    <w:p>
      <w:pPr>
        <w:pStyle w:val="null3"/>
        <w:jc w:val="center"/>
      </w:pPr>
      <w:r>
        <w:rPr/>
        <w:t xml:space="preserve"> </w:t>
      </w:r>
    </w:p>
    <w:p>
      <w:pPr>
        <w:pStyle w:val="null3"/>
        <w:jc w:val="center"/>
      </w:pPr>
      <w:r>
        <w:rPr>
          <w:sz w:val="72"/>
          <w:color w:val="000000"/>
        </w:rPr>
        <w:t>合同书</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ind w:firstLine="1928"/>
        <w:jc w:val="both"/>
      </w:pPr>
      <w:r>
        <w:rPr>
          <w:sz w:val="24"/>
          <w:b/>
        </w:rPr>
        <w:t>项目编号：</w:t>
      </w:r>
      <w:r>
        <w:rPr>
          <w:sz w:val="24"/>
          <w:b/>
        </w:rPr>
        <w:t>GDZH-CG-2024009</w:t>
      </w:r>
    </w:p>
    <w:p>
      <w:pPr>
        <w:pStyle w:val="null3"/>
        <w:ind w:firstLine="1928"/>
        <w:jc w:val="both"/>
      </w:pPr>
      <w:r>
        <w:rPr>
          <w:sz w:val="24"/>
          <w:b/>
        </w:rPr>
        <w:t>项目名称：佛山市教育网站漏洞扫描服务（</w:t>
      </w:r>
      <w:r>
        <w:rPr>
          <w:sz w:val="24"/>
          <w:b/>
        </w:rPr>
        <w:t>2024年-2026年）</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24"/>
          <w:b/>
        </w:rPr>
        <w:t>甲</w:t>
      </w:r>
      <w:r>
        <w:rPr>
          <w:sz w:val="24"/>
          <w:b/>
        </w:rPr>
        <w:t xml:space="preserve">  </w:t>
      </w:r>
      <w:r>
        <w:rPr>
          <w:sz w:val="24"/>
          <w:b/>
        </w:rPr>
        <w:t>方：</w:t>
      </w:r>
      <w:r>
        <w:rPr>
          <w:sz w:val="24"/>
          <w:b/>
          <w:u w:val="single"/>
        </w:rPr>
        <w:t xml:space="preserve">        </w:t>
      </w:r>
      <w:r>
        <w:rPr>
          <w:sz w:val="24"/>
          <w:b/>
          <w:u w:val="single"/>
        </w:rPr>
        <w:t>佛山市教育局</w:t>
      </w:r>
      <w:r>
        <w:rPr>
          <w:sz w:val="24"/>
          <w:b/>
          <w:u w:val="single"/>
        </w:rPr>
        <w:t xml:space="preserve">               </w:t>
      </w:r>
    </w:p>
    <w:p>
      <w:pPr>
        <w:pStyle w:val="null3"/>
        <w:jc w:val="center"/>
      </w:pPr>
      <w:r>
        <w:rPr>
          <w:sz w:val="24"/>
          <w:b/>
        </w:rPr>
        <w:t>乙</w:t>
      </w:r>
      <w:r>
        <w:rPr>
          <w:sz w:val="24"/>
          <w:b/>
        </w:rPr>
        <w:t xml:space="preserve">  </w:t>
      </w:r>
      <w:r>
        <w:rPr>
          <w:sz w:val="24"/>
          <w:b/>
        </w:rPr>
        <w:t>方：</w:t>
      </w:r>
      <w:r>
        <w:rPr>
          <w:sz w:val="24"/>
          <w:b/>
          <w:u w:val="single"/>
        </w:rPr>
        <w:t xml:space="preserve">  </w:t>
      </w:r>
      <w:r>
        <w:rPr>
          <w:sz w:val="24"/>
          <w:b/>
          <w:u w:val="single"/>
        </w:rPr>
        <w:t>（中标</w:t>
      </w:r>
      <w:r>
        <w:rPr>
          <w:sz w:val="24"/>
          <w:b/>
          <w:u w:val="single"/>
        </w:rPr>
        <w:t>/</w:t>
      </w:r>
      <w:r>
        <w:rPr>
          <w:sz w:val="24"/>
          <w:b/>
          <w:u w:val="single"/>
        </w:rPr>
        <w:t>乙方</w:t>
      </w:r>
      <w:r>
        <w:rPr>
          <w:sz w:val="24"/>
          <w:b/>
          <w:u w:val="single"/>
        </w:rPr>
        <w:t>名称）</w:t>
      </w:r>
    </w:p>
    <w:p>
      <w:pPr>
        <w:pStyle w:val="null3"/>
        <w:jc w:val="center"/>
      </w:pPr>
      <w:r>
        <w:rPr>
          <w:sz w:val="24"/>
          <w:b/>
        </w:rPr>
        <w:t>签订日期：</w:t>
      </w:r>
      <w:r>
        <w:rPr>
          <w:u w:val="single"/>
        </w:rPr>
        <w:t xml:space="preserve"> </w:t>
      </w:r>
      <w:r>
        <w:rPr>
          <w:sz w:val="24"/>
          <w:b/>
          <w:u w:val="single"/>
        </w:rPr>
        <w:t xml:space="preserve">    </w:t>
      </w:r>
      <w:r>
        <w:rPr>
          <w:sz w:val="24"/>
          <w:b/>
          <w:u w:val="single"/>
        </w:rPr>
        <w:t>年</w:t>
      </w:r>
      <w:r>
        <w:rPr>
          <w:sz w:val="24"/>
          <w:b/>
          <w:u w:val="single"/>
        </w:rPr>
        <w:t xml:space="preserve">    </w:t>
      </w:r>
      <w:r>
        <w:rPr>
          <w:sz w:val="24"/>
          <w:b/>
          <w:u w:val="single"/>
        </w:rPr>
        <w:t>月</w:t>
      </w:r>
      <w:r>
        <w:rPr>
          <w:sz w:val="24"/>
          <w:b/>
          <w:u w:val="single"/>
        </w:rPr>
        <w:t xml:space="preserve">    </w:t>
      </w:r>
      <w:r>
        <w:rPr>
          <w:sz w:val="24"/>
          <w:b/>
          <w:u w:val="single"/>
        </w:rPr>
        <w:t>日</w:t>
      </w:r>
      <w:r>
        <w:rPr>
          <w:sz w:val="24"/>
          <w:b/>
          <w:u w:val="single"/>
        </w:rPr>
        <w:t xml:space="preserve">              </w:t>
      </w:r>
    </w:p>
    <w:p>
      <w:pPr>
        <w:pStyle w:val="null3"/>
        <w:jc w:val="both"/>
      </w:pPr>
      <w:r>
        <w:rPr/>
        <w:t xml:space="preserve"> </w:t>
      </w:r>
    </w:p>
    <w:p>
      <w:pPr>
        <w:pStyle w:val="null3"/>
        <w:jc w:val="center"/>
      </w:pPr>
      <w:r>
        <w:rPr>
          <w:sz w:val="24"/>
          <w:b/>
          <w:color w:val="000000"/>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项目名称：</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 xml:space="preserve"> </w:t>
            </w:r>
            <w:r>
              <w:rPr>
                <w:sz w:val="24"/>
                <w:u w:val="single"/>
              </w:rPr>
              <w:t>佛山市教育网站漏洞扫描服务（</w:t>
            </w:r>
            <w:r>
              <w:rPr>
                <w:sz w:val="24"/>
                <w:u w:val="single"/>
              </w:rPr>
              <w:t xml:space="preserve">2024年-2026年）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项目编号：</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 xml:space="preserve">   </w:t>
            </w:r>
            <w:r>
              <w:rPr>
                <w:sz w:val="24"/>
                <w:u w:val="single"/>
              </w:rPr>
              <w:t xml:space="preserve">GDZH-CG-2024009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甲</w:t>
            </w:r>
            <w:r>
              <w:rPr>
                <w:sz w:val="19"/>
                <w:b/>
              </w:rPr>
              <w:t xml:space="preserve">    </w:t>
            </w:r>
            <w:r>
              <w:rPr>
                <w:sz w:val="24"/>
                <w:b/>
                <w:color w:val="000000"/>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u w:val="single"/>
              </w:rPr>
              <w:t xml:space="preserve">  </w:t>
            </w:r>
            <w:r>
              <w:rPr>
                <w:sz w:val="24"/>
                <w:color w:val="000000"/>
                <w:u w:val="single"/>
              </w:rPr>
              <w:t>（佛山市教育局）</w:t>
            </w:r>
            <w:r>
              <w:rPr>
                <w:sz w:val="19"/>
                <w:u w:val="single"/>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乙</w:t>
            </w:r>
            <w:r>
              <w:rPr>
                <w:sz w:val="24"/>
                <w:b/>
                <w:color w:val="000000"/>
              </w:rPr>
              <w:t xml:space="preserve">   </w:t>
            </w:r>
            <w:r>
              <w:rPr>
                <w:sz w:val="24"/>
                <w:b/>
                <w:color w:val="000000"/>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（中标</w:t>
            </w:r>
            <w:r>
              <w:rPr>
                <w:sz w:val="24"/>
                <w:color w:val="000000"/>
                <w:u w:val="single"/>
              </w:rPr>
              <w:t>/</w:t>
            </w:r>
            <w:r>
              <w:rPr>
                <w:sz w:val="24"/>
                <w:color w:val="000000"/>
                <w:u w:val="single"/>
              </w:rPr>
              <w:t>乙方</w:t>
            </w:r>
            <w:r>
              <w:rPr>
                <w:sz w:val="24"/>
                <w:color w:val="000000"/>
                <w:u w:val="single"/>
              </w:rPr>
              <w:t>）</w:t>
            </w:r>
            <w:r>
              <w:rPr>
                <w:sz w:val="24"/>
                <w:color w:val="000000"/>
                <w:u w:val="single"/>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合同性质：</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本合同为中小企业预留合同</w:t>
            </w:r>
          </w:p>
        </w:tc>
      </w:tr>
      <w:tr>
        <w:tc>
          <w:tcPr>
            <w:tcW w:type="dxa" w:w="8306"/>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bl>
    <w:p>
      <w:pPr>
        <w:pStyle w:val="null3"/>
        <w:jc w:val="both"/>
      </w:pPr>
      <w:r>
        <w:rPr>
          <w:sz w:val="24"/>
          <w:b/>
        </w:rPr>
        <w:t>根据《中华人民共和国政府采购法》《中华人民共和国民法典》和本项目采购文件的要求，经双方协商，本着平等互利和诚实信用的原则，一致同意签订本合同如下。</w:t>
      </w:r>
    </w:p>
    <w:p>
      <w:pPr>
        <w:pStyle w:val="null3"/>
        <w:jc w:val="both"/>
      </w:pPr>
      <w:r>
        <w:rPr>
          <w:sz w:val="24"/>
          <w:b/>
        </w:rPr>
        <w:t>一、项目主要内容及实现功能目标：</w:t>
      </w:r>
    </w:p>
    <w:p>
      <w:pPr>
        <w:pStyle w:val="null3"/>
        <w:jc w:val="both"/>
      </w:pPr>
      <w:r>
        <w:rPr>
          <w:sz w:val="24"/>
          <w:b/>
        </w:rPr>
        <w:t>（按照采购文件和投标</w:t>
      </w:r>
      <w:r>
        <w:rPr>
          <w:sz w:val="24"/>
          <w:b/>
        </w:rPr>
        <w:t>/响应文件执行）</w:t>
      </w:r>
    </w:p>
    <w:p>
      <w:pPr>
        <w:pStyle w:val="null3"/>
        <w:jc w:val="both"/>
      </w:pPr>
      <w:r>
        <w:rPr>
          <w:sz w:val="24"/>
          <w:b/>
        </w:rPr>
        <w:t>二、服务内容：</w:t>
      </w:r>
    </w:p>
    <w:p>
      <w:pPr>
        <w:pStyle w:val="null3"/>
      </w:pPr>
      <w:r>
        <w:rPr>
          <w:sz w:val="24"/>
        </w:rPr>
        <w:t>（一）网站常规漏洞扫描</w:t>
      </w:r>
    </w:p>
    <w:p>
      <w:pPr>
        <w:pStyle w:val="null3"/>
      </w:pPr>
      <w:r>
        <w:rPr>
          <w:sz w:val="24"/>
        </w:rPr>
        <w:t xml:space="preserve">  对佛山市、区教育局及学校的门户网站合共658个进行漏洞扫描，扫描频率为每半年一次，每年出具2次漏洞扫描报告。</w:t>
      </w:r>
    </w:p>
    <w:p>
      <w:pPr>
        <w:pStyle w:val="null3"/>
      </w:pPr>
      <w:r>
        <w:rPr>
          <w:sz w:val="24"/>
        </w:rPr>
        <w:t>（二）网站常规渗透测试</w:t>
      </w:r>
    </w:p>
    <w:p>
      <w:pPr>
        <w:pStyle w:val="null3"/>
      </w:pPr>
      <w:r>
        <w:rPr>
          <w:sz w:val="24"/>
        </w:rPr>
        <w:t xml:space="preserve">  对佛山市教育局、下属五区教育局及佛山市教育局直管的四所学校门户网站进行渗透测试，频率为每年一次，并出具详细的渗透测试报告。</w:t>
      </w:r>
    </w:p>
    <w:p>
      <w:pPr>
        <w:pStyle w:val="null3"/>
        <w:jc w:val="both"/>
      </w:pPr>
      <w:r>
        <w:rPr>
          <w:sz w:val="24"/>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61"/>
        <w:gridCol w:w="1418"/>
        <w:gridCol w:w="6226"/>
      </w:tblGrid>
      <w:tr>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序号</w:t>
            </w:r>
          </w:p>
        </w:tc>
        <w:tc>
          <w:tcPr>
            <w:tcW w:type="dxa" w:w="1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合同条款</w:t>
            </w:r>
          </w:p>
        </w:tc>
        <w:tc>
          <w:tcPr>
            <w:tcW w:type="dxa" w:w="6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内容</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合同总额</w:t>
            </w:r>
          </w:p>
        </w:tc>
        <w:tc>
          <w:tcPr>
            <w:tcW w:type="dxa" w:w="6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人民币</w:t>
            </w:r>
            <w:r>
              <w:rPr>
                <w:sz w:val="24"/>
              </w:rPr>
              <w:t xml:space="preserve">  </w:t>
            </w:r>
            <w:r>
              <w:rPr>
                <w:sz w:val="24"/>
              </w:rPr>
              <w:t>小写：</w:t>
            </w:r>
            <w:r>
              <w:rPr>
                <w:sz w:val="24"/>
              </w:rPr>
              <w:t xml:space="preserve">             </w:t>
            </w:r>
            <w:r>
              <w:rPr>
                <w:sz w:val="24"/>
              </w:rPr>
              <w:t>元；</w:t>
            </w:r>
          </w:p>
          <w:p>
            <w:pPr>
              <w:pStyle w:val="null3"/>
            </w:pPr>
            <w:r>
              <w:rPr>
                <w:sz w:val="24"/>
              </w:rPr>
              <w:t>大写：</w:t>
            </w:r>
            <w:r>
              <w:rPr>
                <w:sz w:val="24"/>
              </w:rPr>
              <w:t xml:space="preserve">                          </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合同总额内容</w:t>
            </w:r>
          </w:p>
        </w:tc>
        <w:tc>
          <w:tcPr>
            <w:tcW w:type="dxa" w:w="6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4"/>
              </w:rPr>
              <w:t>合同总额包括但不仅限于各项服务、人工（包括工资、福利、交通、食宿、通讯等）、工具使用、日常维护、项目验收专家评审费、各项税费及合同实施过程中的应预见和不可预见费用等完成合同规定责任和义务、达到合同目的的一切费用及企业利润。</w:t>
            </w:r>
          </w:p>
          <w:p>
            <w:pPr>
              <w:pStyle w:val="null3"/>
              <w:numPr>
                <w:ilvl w:val="0"/>
                <w:numId w:val="1"/>
              </w:numPr>
            </w:pPr>
            <w:r>
              <w:rPr>
                <w:sz w:val="24"/>
              </w:rPr>
              <w:t>在合同执行过程中，</w:t>
            </w:r>
            <w:r>
              <w:rPr>
                <w:sz w:val="24"/>
              </w:rPr>
              <w:t>甲方</w:t>
            </w:r>
            <w:r>
              <w:rPr>
                <w:sz w:val="24"/>
              </w:rPr>
              <w:t>将不再另行支付与本项目相关的任何费用（非本项目要求的其它内容除外）。</w:t>
            </w:r>
          </w:p>
          <w:p>
            <w:pPr>
              <w:pStyle w:val="null3"/>
              <w:numPr>
                <w:ilvl w:val="0"/>
                <w:numId w:val="1"/>
              </w:numPr>
            </w:pPr>
            <w:r>
              <w:rPr>
                <w:sz w:val="24"/>
              </w:rPr>
              <w:t>价格为固定不变价，天数为公历日。</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项目服务地点</w:t>
            </w:r>
          </w:p>
        </w:tc>
        <w:tc>
          <w:tcPr>
            <w:tcW w:type="dxa" w:w="6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甲方（用户）指定地点。详细地址为：</w:t>
            </w:r>
            <w:r>
              <w:rPr>
                <w:sz w:val="19"/>
                <w:u w:val="single"/>
              </w:rPr>
              <w:t xml:space="preserve">                  </w:t>
            </w:r>
            <w:r>
              <w:rPr>
                <w:sz w:val="24"/>
              </w:rPr>
              <w:t xml:space="preserve"> </w:t>
            </w:r>
            <w:r>
              <w:rPr>
                <w:sz w:val="24"/>
              </w:rPr>
              <w:t>。</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4.</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服务期</w:t>
            </w:r>
          </w:p>
        </w:tc>
        <w:tc>
          <w:tcPr>
            <w:tcW w:type="dxa" w:w="6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合同生效后提供</w:t>
            </w:r>
            <w:r>
              <w:rPr>
                <w:sz w:val="24"/>
                <w:u w:val="single"/>
              </w:rPr>
              <w:t>三</w:t>
            </w:r>
            <w:r>
              <w:rPr>
                <w:sz w:val="24"/>
              </w:rPr>
              <w:t>年服务，即从</w:t>
            </w:r>
            <w:r>
              <w:rPr>
                <w:sz w:val="24"/>
              </w:rPr>
              <w:t xml:space="preserve">   </w:t>
            </w:r>
            <w:r>
              <w:rPr>
                <w:sz w:val="24"/>
              </w:rPr>
              <w:t>年</w:t>
            </w:r>
            <w:r>
              <w:rPr>
                <w:sz w:val="24"/>
              </w:rPr>
              <w:t xml:space="preserve">   </w:t>
            </w:r>
            <w:r>
              <w:rPr>
                <w:sz w:val="24"/>
              </w:rPr>
              <w:t>月</w:t>
            </w:r>
            <w:r>
              <w:rPr>
                <w:sz w:val="24"/>
              </w:rPr>
              <w:t xml:space="preserve">   </w:t>
            </w:r>
            <w:r>
              <w:rPr>
                <w:sz w:val="24"/>
              </w:rPr>
              <w:t>日至</w:t>
            </w:r>
            <w:r>
              <w:rPr>
                <w:sz w:val="24"/>
              </w:rPr>
              <w:t xml:space="preserve">   </w:t>
            </w:r>
            <w:r>
              <w:rPr>
                <w:sz w:val="24"/>
              </w:rPr>
              <w:t>年</w:t>
            </w:r>
            <w:r>
              <w:rPr>
                <w:sz w:val="24"/>
              </w:rPr>
              <w:t xml:space="preserve">   </w:t>
            </w:r>
            <w:r>
              <w:rPr>
                <w:sz w:val="24"/>
              </w:rPr>
              <w:t>月</w:t>
            </w:r>
            <w:r>
              <w:rPr>
                <w:sz w:val="24"/>
              </w:rPr>
              <w:t xml:space="preserve">   </w:t>
            </w:r>
            <w:r>
              <w:rPr>
                <w:sz w:val="24"/>
              </w:rPr>
              <w:t>日。</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5.</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付款方式</w:t>
            </w:r>
          </w:p>
        </w:tc>
        <w:tc>
          <w:tcPr>
            <w:tcW w:type="dxa" w:w="6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 xml:space="preserve">1期：支付比例33.34%, 按成交金额平均三年，得出每年合同金额。 </w:t>
            </w:r>
            <w:r>
              <w:rPr>
                <w:sz w:val="24"/>
              </w:rPr>
              <w:t>自合同签订后，服务期满2个月，凭成交供应商开具的有效发票，通过银行转帐的方式采购人于30个工作日内支付该年度金额的100%；</w:t>
            </w:r>
          </w:p>
          <w:p>
            <w:pPr>
              <w:pStyle w:val="null3"/>
            </w:pPr>
            <w:r>
              <w:rPr>
                <w:sz w:val="24"/>
              </w:rPr>
              <w:t>2期：支付比例33.33%,第二年，当</w:t>
            </w:r>
            <w:r>
              <w:rPr>
                <w:sz w:val="24"/>
              </w:rPr>
              <w:t>乙方</w:t>
            </w:r>
            <w:r>
              <w:rPr>
                <w:sz w:val="24"/>
              </w:rPr>
              <w:t>提交第一年详细漏洞扫描报告</w:t>
            </w:r>
            <w:r>
              <w:rPr>
                <w:sz w:val="24"/>
              </w:rPr>
              <w:t>(附安全加固修复解决方案)及详细渗透测试报告(附安全加固修复解决方案)后经</w:t>
            </w:r>
            <w:r>
              <w:rPr>
                <w:sz w:val="24"/>
              </w:rPr>
              <w:t>甲方</w:t>
            </w:r>
            <w:r>
              <w:rPr>
                <w:sz w:val="24"/>
              </w:rPr>
              <w:t>确认，凭</w:t>
            </w:r>
            <w:r>
              <w:rPr>
                <w:sz w:val="24"/>
              </w:rPr>
              <w:t>乙方</w:t>
            </w:r>
            <w:r>
              <w:rPr>
                <w:sz w:val="24"/>
              </w:rPr>
              <w:t>开具的有效发票，通过银行转帐的方式，</w:t>
            </w:r>
            <w:r>
              <w:rPr>
                <w:sz w:val="24"/>
              </w:rPr>
              <w:t>甲方</w:t>
            </w:r>
            <w:r>
              <w:rPr>
                <w:sz w:val="24"/>
              </w:rPr>
              <w:t>于</w:t>
            </w:r>
            <w:r>
              <w:rPr>
                <w:sz w:val="24"/>
              </w:rPr>
              <w:t>30个工作日内支付该年度金额的100%；</w:t>
            </w:r>
          </w:p>
          <w:p>
            <w:pPr>
              <w:pStyle w:val="null3"/>
            </w:pPr>
            <w:r>
              <w:rPr>
                <w:sz w:val="24"/>
              </w:rPr>
              <w:t>3期：支付比例33.33%,第三年，当</w:t>
            </w:r>
            <w:r>
              <w:rPr>
                <w:sz w:val="24"/>
              </w:rPr>
              <w:t>乙方</w:t>
            </w:r>
            <w:r>
              <w:rPr>
                <w:sz w:val="24"/>
              </w:rPr>
              <w:t>提交第二年详细漏洞扫描报告</w:t>
            </w:r>
            <w:r>
              <w:rPr>
                <w:sz w:val="24"/>
              </w:rPr>
              <w:t>(附安全加固修复解决方案)及详细渗透测试报告(附安全加固修复解决方案)后经</w:t>
            </w:r>
            <w:r>
              <w:rPr>
                <w:sz w:val="24"/>
              </w:rPr>
              <w:t>甲方</w:t>
            </w:r>
            <w:r>
              <w:rPr>
                <w:sz w:val="24"/>
              </w:rPr>
              <w:t>确认，凭</w:t>
            </w:r>
            <w:r>
              <w:rPr>
                <w:sz w:val="24"/>
              </w:rPr>
              <w:t>乙方</w:t>
            </w:r>
            <w:r>
              <w:rPr>
                <w:sz w:val="24"/>
              </w:rPr>
              <w:t>开具的有效发票，通过银行转帐的方式，</w:t>
            </w:r>
            <w:r>
              <w:rPr>
                <w:sz w:val="24"/>
              </w:rPr>
              <w:t>甲方</w:t>
            </w:r>
            <w:r>
              <w:rPr>
                <w:sz w:val="24"/>
              </w:rPr>
              <w:t>于</w:t>
            </w:r>
            <w:r>
              <w:rPr>
                <w:sz w:val="24"/>
              </w:rPr>
              <w:t>30个工作日内支付该年度金额的100%；</w:t>
            </w:r>
          </w:p>
          <w:p>
            <w:pPr>
              <w:pStyle w:val="null3"/>
            </w:pPr>
            <w:r>
              <w:rPr>
                <w:sz w:val="24"/>
              </w:rPr>
              <w:t>如项目发生合同融资，</w:t>
            </w:r>
            <w:r>
              <w:rPr>
                <w:sz w:val="24"/>
              </w:rPr>
              <w:t>甲方</w:t>
            </w:r>
            <w:r>
              <w:rPr>
                <w:sz w:val="24"/>
              </w:rPr>
              <w:t>应当将合同款项支付到合同约定收款账户。</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6.</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知识产权和保密要求</w:t>
            </w:r>
          </w:p>
        </w:tc>
        <w:tc>
          <w:tcPr>
            <w:tcW w:type="dxa" w:w="6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4"/>
              </w:rPr>
              <w:t>项目实施过程中，</w:t>
            </w:r>
            <w:r>
              <w:rPr>
                <w:sz w:val="24"/>
              </w:rPr>
              <w:t>乙方</w:t>
            </w:r>
            <w:r>
              <w:rPr>
                <w:sz w:val="24"/>
              </w:rPr>
              <w:t>必须采用正版软件和工具软件，如因版权问题导致实施计划延误，或受到来自第三方关于侵犯专利权及其他知识产权的法律指控时，</w:t>
            </w:r>
            <w:r>
              <w:rPr>
                <w:sz w:val="24"/>
              </w:rPr>
              <w:t>乙方</w:t>
            </w:r>
            <w:r>
              <w:rPr>
                <w:sz w:val="24"/>
              </w:rPr>
              <w:t>须承担因此而引起的一切责任和费用。</w:t>
            </w:r>
          </w:p>
          <w:p>
            <w:pPr>
              <w:pStyle w:val="null3"/>
              <w:numPr>
                <w:ilvl w:val="0"/>
                <w:numId w:val="1"/>
              </w:numPr>
            </w:pPr>
            <w:r>
              <w:rPr>
                <w:sz w:val="24"/>
              </w:rPr>
              <w:t>乙方</w:t>
            </w:r>
            <w:r>
              <w:rPr>
                <w:sz w:val="24"/>
              </w:rPr>
              <w:t>必须如约承担合同履行时所应该尽的一切保密义务。</w:t>
            </w:r>
            <w:r>
              <w:rPr>
                <w:sz w:val="24"/>
              </w:rPr>
              <w:t>乙方</w:t>
            </w:r>
            <w:r>
              <w:rPr>
                <w:sz w:val="24"/>
              </w:rPr>
              <w:t>对</w:t>
            </w:r>
            <w:r>
              <w:rPr>
                <w:sz w:val="24"/>
              </w:rPr>
              <w:t>甲方</w:t>
            </w:r>
            <w:r>
              <w:rPr>
                <w:sz w:val="24"/>
              </w:rPr>
              <w:t>信息、项目实施过程中的资料、数据进行保密，未经</w:t>
            </w:r>
            <w:r>
              <w:rPr>
                <w:sz w:val="24"/>
              </w:rPr>
              <w:t>甲方</w:t>
            </w:r>
            <w:r>
              <w:rPr>
                <w:sz w:val="24"/>
              </w:rPr>
              <w:t>书面同意不得泄露给第三方，否则，</w:t>
            </w:r>
            <w:r>
              <w:rPr>
                <w:sz w:val="24"/>
              </w:rPr>
              <w:t>甲方</w:t>
            </w:r>
            <w:r>
              <w:rPr>
                <w:sz w:val="24"/>
              </w:rPr>
              <w:t>保留追究</w:t>
            </w:r>
            <w:r>
              <w:rPr>
                <w:sz w:val="24"/>
              </w:rPr>
              <w:t>乙方</w:t>
            </w:r>
            <w:r>
              <w:rPr>
                <w:sz w:val="24"/>
              </w:rPr>
              <w:t>法律责任的权利。保密责任不因合同的终止、中止或解除而失效。</w:t>
            </w:r>
          </w:p>
        </w:tc>
      </w:tr>
    </w:tbl>
    <w:p>
      <w:pPr>
        <w:pStyle w:val="null3"/>
        <w:jc w:val="both"/>
      </w:pPr>
      <w:r>
        <w:rPr>
          <w:sz w:val="24"/>
          <w:b/>
        </w:rPr>
        <w:t>四、服务对照执行标准：</w:t>
      </w:r>
    </w:p>
    <w:p>
      <w:pPr>
        <w:pStyle w:val="null3"/>
        <w:jc w:val="both"/>
      </w:pPr>
      <w:r>
        <w:rPr>
          <w:sz w:val="24"/>
          <w:b/>
        </w:rPr>
        <w:t>1.</w:t>
      </w:r>
      <w:r>
        <w:rPr>
          <w:sz w:val="24"/>
        </w:rPr>
        <w:t>符合中华人民共和国国家和履约地相关安全质量标准、行业技术规范标准；</w:t>
      </w:r>
    </w:p>
    <w:p>
      <w:pPr>
        <w:pStyle w:val="null3"/>
        <w:jc w:val="both"/>
      </w:pPr>
      <w:r>
        <w:rPr>
          <w:sz w:val="24"/>
        </w:rPr>
        <w:t>2.符合采购文件和响应承诺中各方共同认可的合理要求；</w:t>
      </w:r>
    </w:p>
    <w:p>
      <w:pPr>
        <w:pStyle w:val="null3"/>
        <w:jc w:val="both"/>
      </w:pPr>
      <w:r>
        <w:rPr>
          <w:sz w:val="24"/>
        </w:rPr>
        <w:t>上述各类标准与法规必须是有关官方机构最新发布的现行标准版本</w:t>
      </w:r>
      <w:r>
        <w:rPr>
          <w:sz w:val="24"/>
          <w:b/>
        </w:rPr>
        <w:t>。</w:t>
      </w:r>
    </w:p>
    <w:p>
      <w:pPr>
        <w:pStyle w:val="null3"/>
        <w:jc w:val="both"/>
      </w:pPr>
      <w:r>
        <w:rPr>
          <w:sz w:val="24"/>
          <w:b/>
        </w:rPr>
        <w:t>五、投诉跟踪服务要求：</w:t>
      </w:r>
    </w:p>
    <w:p>
      <w:pPr>
        <w:pStyle w:val="null3"/>
        <w:jc w:val="both"/>
      </w:pPr>
      <w:r>
        <w:rPr>
          <w:sz w:val="24"/>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jc w:val="both"/>
      </w:pPr>
      <w:r>
        <w:rPr>
          <w:sz w:val="24"/>
        </w:rPr>
        <w:t>2.服务期内，甲方有权按本项目的管理要求对乙方进行不定期抽查检查，若对不合格的管理服务提出警告后，仍未得到有效解决时，甲方有权终止管理合同。</w:t>
      </w:r>
    </w:p>
    <w:p>
      <w:pPr>
        <w:pStyle w:val="null3"/>
        <w:jc w:val="both"/>
      </w:pPr>
      <w:r>
        <w:rPr>
          <w:sz w:val="24"/>
        </w:rPr>
        <w:t>3.乙方服务机构名称及地址：</w:t>
      </w:r>
    </w:p>
    <w:p>
      <w:pPr>
        <w:pStyle w:val="null3"/>
        <w:jc w:val="both"/>
      </w:pPr>
      <w:r>
        <w:rPr>
          <w:sz w:val="24"/>
        </w:rPr>
        <w:t>联系人</w:t>
      </w:r>
      <w:r>
        <w:rPr>
          <w:sz w:val="24"/>
        </w:rPr>
        <w:t>1：          ，联系电话：            ，手机：          ；</w:t>
      </w:r>
    </w:p>
    <w:p>
      <w:pPr>
        <w:pStyle w:val="null3"/>
        <w:jc w:val="both"/>
      </w:pPr>
      <w:r>
        <w:rPr>
          <w:sz w:val="24"/>
        </w:rPr>
        <w:t>联系人</w:t>
      </w:r>
      <w:r>
        <w:rPr>
          <w:sz w:val="24"/>
        </w:rPr>
        <w:t>2：          ，联系电话：            ，手机：          ；</w:t>
      </w:r>
    </w:p>
    <w:p>
      <w:pPr>
        <w:pStyle w:val="null3"/>
        <w:jc w:val="both"/>
      </w:pPr>
      <w:r>
        <w:rPr>
          <w:sz w:val="24"/>
        </w:rPr>
        <w:t>服务专线电话：</w:t>
      </w:r>
    </w:p>
    <w:p>
      <w:pPr>
        <w:pStyle w:val="null3"/>
        <w:jc w:val="both"/>
      </w:pPr>
      <w:r>
        <w:rPr>
          <w:sz w:val="24"/>
        </w:rPr>
        <w:t>4.其他服务要求：（补充内容不得对采购文件和投标/响应文件作实质性修改）</w:t>
      </w:r>
    </w:p>
    <w:p>
      <w:pPr>
        <w:pStyle w:val="null3"/>
        <w:jc w:val="both"/>
      </w:pPr>
      <w:r>
        <w:rPr>
          <w:b/>
        </w:rPr>
        <w:t xml:space="preserve">  </w:t>
      </w:r>
      <w:r>
        <w:rPr>
          <w:b/>
          <w:u w:val="single"/>
        </w:rPr>
        <w:t xml:space="preserve">                                                       </w:t>
      </w:r>
      <w:r>
        <w:rPr>
          <w:sz w:val="24"/>
          <w:b/>
        </w:rPr>
        <w:t xml:space="preserve"> </w:t>
      </w:r>
      <w:r>
        <w:rPr>
          <w:sz w:val="24"/>
          <w:b/>
        </w:rPr>
        <w:t>。</w:t>
      </w:r>
    </w:p>
    <w:p>
      <w:pPr>
        <w:pStyle w:val="null3"/>
        <w:jc w:val="both"/>
      </w:pPr>
      <w:r>
        <w:rPr>
          <w:sz w:val="24"/>
          <w:b/>
        </w:rPr>
        <w:t>六、</w:t>
      </w:r>
      <w:r>
        <w:rPr>
          <w:sz w:val="24"/>
          <w:b/>
        </w:rPr>
        <w:t>技术要求</w:t>
      </w:r>
      <w:r>
        <w:br/>
      </w:r>
      <w:r>
        <w:rPr>
          <w:sz w:val="24"/>
        </w:rPr>
        <w:t xml:space="preserve"> </w:t>
      </w:r>
      <w:r>
        <w:rPr>
          <w:sz w:val="24"/>
        </w:rPr>
        <w:t>（一）网站常规漏洞扫描</w:t>
      </w:r>
      <w:r>
        <w:br/>
      </w:r>
      <w:r>
        <w:rPr>
          <w:sz w:val="24"/>
        </w:rPr>
        <w:t xml:space="preserve"> </w:t>
      </w:r>
      <w:r>
        <w:rPr>
          <w:sz w:val="24"/>
        </w:rPr>
        <w:t>网站常规漏洞扫描包括但不限于以下内容：</w:t>
      </w:r>
      <w:r>
        <w:br/>
      </w:r>
      <w:r>
        <w:rPr>
          <w:sz w:val="24"/>
        </w:rPr>
        <w:t xml:space="preserve"> </w:t>
      </w:r>
      <w:r>
        <w:rPr>
          <w:sz w:val="24"/>
        </w:rPr>
        <w:t>1.对探测到的设备、服务器进行安全评估测试，例如路由器、防火墙、开关和负载平衡器；</w:t>
      </w:r>
      <w:r>
        <w:br/>
      </w:r>
      <w:r>
        <w:rPr>
          <w:sz w:val="24"/>
        </w:rPr>
        <w:t xml:space="preserve"> </w:t>
      </w:r>
      <w:r>
        <w:rPr>
          <w:sz w:val="24"/>
        </w:rPr>
        <w:t>2.对常规协议的弱安全性密码进行测试，比如FTP，IMAP，数据库服务器，web漏洞扫描和远程终端协议；</w:t>
      </w:r>
      <w:r>
        <w:br/>
      </w:r>
      <w:r>
        <w:rPr>
          <w:sz w:val="24"/>
        </w:rPr>
        <w:t xml:space="preserve"> </w:t>
      </w:r>
      <w:r>
        <w:rPr>
          <w:sz w:val="24"/>
        </w:rPr>
        <w:t>3.对于相关系统服务器进行测试，采用工具+人工的方式；</w:t>
      </w:r>
      <w:r>
        <w:br/>
      </w:r>
      <w:r>
        <w:rPr>
          <w:sz w:val="24"/>
        </w:rPr>
        <w:t xml:space="preserve"> </w:t>
      </w:r>
      <w:r>
        <w:rPr>
          <w:sz w:val="24"/>
        </w:rPr>
        <w:t>4.进行扫描时，不得影响网络性能和被扫描对象正常使用，开展工作前按</w:t>
      </w:r>
      <w:r>
        <w:rPr>
          <w:sz w:val="24"/>
        </w:rPr>
        <w:t>甲方</w:t>
      </w:r>
      <w:r>
        <w:rPr>
          <w:sz w:val="24"/>
        </w:rPr>
        <w:t>要求做好报备申请，未获得</w:t>
      </w:r>
      <w:r>
        <w:rPr>
          <w:sz w:val="24"/>
        </w:rPr>
        <w:t>甲方</w:t>
      </w:r>
      <w:r>
        <w:rPr>
          <w:sz w:val="24"/>
        </w:rPr>
        <w:t>批准不得私自开展扫描渗透工作。</w:t>
      </w:r>
      <w:r>
        <w:br/>
      </w:r>
      <w:r>
        <w:rPr>
          <w:sz w:val="24"/>
        </w:rPr>
        <w:t xml:space="preserve"> </w:t>
      </w:r>
      <w:r>
        <w:rPr>
          <w:sz w:val="24"/>
        </w:rPr>
        <w:t>（二）网站常规渗透测试</w:t>
      </w:r>
      <w:r>
        <w:br/>
      </w:r>
      <w:r>
        <w:rPr>
          <w:sz w:val="24"/>
        </w:rPr>
        <w:t xml:space="preserve"> </w:t>
      </w:r>
      <w:r>
        <w:rPr>
          <w:sz w:val="24"/>
        </w:rPr>
        <w:t>渗透测试包括但不限于以下详细内容：</w:t>
      </w:r>
    </w:p>
    <w:p>
      <w:pPr>
        <w:pStyle w:val="null3"/>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955"/>
        <w:gridCol w:w="7351"/>
      </w:tblGrid>
      <w:tr>
        <w:tc>
          <w:tcPr>
            <w:tcW w:type="dxa" w:w="955"/>
            <w:tcBorders>
              <w:top w:val="singl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4"/>
                <w:b/>
              </w:rPr>
              <w:t>渗透内容</w:t>
            </w:r>
          </w:p>
        </w:tc>
        <w:tc>
          <w:tcPr>
            <w:tcW w:type="dxa" w:w="7351"/>
            <w:tcBorders>
              <w:top w:val="single" w:color="000000" w:sz="4"/>
              <w:left w:val="non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4"/>
                <w:b/>
              </w:rPr>
              <w:t>内容描述</w:t>
            </w:r>
          </w:p>
        </w:tc>
      </w:tr>
      <w:tr>
        <w:tc>
          <w:tcPr>
            <w:tcW w:type="dxa" w:w="955"/>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4"/>
              </w:rPr>
              <w:t>网络系统渗透</w:t>
            </w:r>
          </w:p>
        </w:tc>
        <w:tc>
          <w:tcPr>
            <w:tcW w:type="dxa" w:w="7351"/>
            <w:tcBorders>
              <w:top w:val="none" w:color="000000" w:sz="4"/>
              <w:left w:val="non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4"/>
              </w:rPr>
              <w:t>对网络拓扑进行发现，对网络设备（如防火墙、路由器、交换机）等进行渗透攻击，寻找网络构架的风险薄弱点；</w:t>
            </w:r>
          </w:p>
        </w:tc>
      </w:tr>
      <w:tr>
        <w:tc>
          <w:tcPr>
            <w:tcW w:type="dxa" w:w="955"/>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4"/>
              </w:rPr>
              <w:t>应用服务渗透</w:t>
            </w:r>
          </w:p>
        </w:tc>
        <w:tc>
          <w:tcPr>
            <w:tcW w:type="dxa" w:w="7351"/>
            <w:tcBorders>
              <w:top w:val="none" w:color="000000" w:sz="4"/>
              <w:left w:val="non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4"/>
              </w:rPr>
              <w:t>对应用服务（包括操作系统），等进行渗透攻击，获取或篡改关键信息，最大程度提升权限，据此形成专业的风险渗透报告；</w:t>
            </w:r>
          </w:p>
        </w:tc>
      </w:tr>
      <w:tr>
        <w:tc>
          <w:tcPr>
            <w:tcW w:type="dxa" w:w="955"/>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4"/>
                <w:color w:val="000000"/>
              </w:rPr>
              <w:t>数据库渗透</w:t>
            </w:r>
          </w:p>
        </w:tc>
        <w:tc>
          <w:tcPr>
            <w:tcW w:type="dxa" w:w="7351"/>
            <w:tcBorders>
              <w:top w:val="none" w:color="000000" w:sz="4"/>
              <w:left w:val="non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4"/>
                <w:color w:val="000000"/>
              </w:rPr>
              <w:t>对专用数据服务（包括操作系统），如</w:t>
            </w:r>
            <w:r>
              <w:rPr>
                <w:sz w:val="24"/>
                <w:color w:val="000000"/>
              </w:rPr>
              <w:t>SQL、Oracle、SYbase、DB2等进行渗透攻击，获取或篡改关键信息，最大程度提升权限，据此形成专业的风险渗透报告；</w:t>
            </w:r>
          </w:p>
        </w:tc>
      </w:tr>
      <w:tr>
        <w:tc>
          <w:tcPr>
            <w:tcW w:type="dxa" w:w="955"/>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4"/>
                <w:color w:val="000000"/>
              </w:rPr>
              <w:t>隐秘测试</w:t>
            </w:r>
          </w:p>
        </w:tc>
        <w:tc>
          <w:tcPr>
            <w:tcW w:type="dxa" w:w="7351"/>
            <w:tcBorders>
              <w:top w:val="none" w:color="000000" w:sz="4"/>
              <w:left w:val="non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4"/>
                <w:color w:val="000000"/>
              </w:rPr>
              <w:t>隐秘测试是对被测单位而言的，通常情况下，接受渗透测试的单位网络管理部门会收到通知：在某些时段进行测试。因此能够监测网络中出现的变化。但隐秘测试则被测单位也仅有极少数人知晓测试的存在，因此能够有效地检验单位中的信息安全事件监控、响应、恢复做得是否到位；</w:t>
            </w:r>
          </w:p>
        </w:tc>
      </w:tr>
      <w:tr>
        <w:tc>
          <w:tcPr>
            <w:tcW w:type="dxa" w:w="955"/>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4"/>
                <w:color w:val="000000"/>
              </w:rPr>
              <w:t>攻击路径</w:t>
            </w:r>
          </w:p>
        </w:tc>
        <w:tc>
          <w:tcPr>
            <w:tcW w:type="dxa" w:w="7351"/>
            <w:tcBorders>
              <w:top w:val="none" w:color="000000" w:sz="4"/>
              <w:left w:val="non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4"/>
                <w:color w:val="000000"/>
              </w:rPr>
              <w:t>测试目标不同，涉及需要采用的技术也会有一定差异，因此下面简单说明在不同位置、攻击路径不同时可能采用的技术；</w:t>
            </w:r>
          </w:p>
        </w:tc>
      </w:tr>
      <w:tr>
        <w:tc>
          <w:tcPr>
            <w:tcW w:type="dxa" w:w="955"/>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4"/>
                <w:color w:val="000000"/>
              </w:rPr>
              <w:t>内网测试</w:t>
            </w:r>
          </w:p>
        </w:tc>
        <w:tc>
          <w:tcPr>
            <w:tcW w:type="dxa" w:w="7351"/>
            <w:tcBorders>
              <w:top w:val="none" w:color="000000" w:sz="4"/>
              <w:left w:val="non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4"/>
                <w:color w:val="000000"/>
              </w:rPr>
              <w:t>内网测试指的是渗透测试人员由内部网络发起测试，这类测试能够模拟企业内部违规操作者的行为。最主要的</w:t>
            </w:r>
            <w:r>
              <w:rPr>
                <w:sz w:val="24"/>
                <w:color w:val="000000"/>
              </w:rPr>
              <w:t>“优势”是绕过了防火墙的保护。内部主要可能采用的渗透方式：</w:t>
            </w:r>
          </w:p>
          <w:p>
            <w:pPr>
              <w:pStyle w:val="null3"/>
              <w:jc w:val="both"/>
            </w:pPr>
            <w:r>
              <w:rPr>
                <w:sz w:val="24"/>
                <w:color w:val="000000"/>
              </w:rPr>
              <w:t>1)远程缓冲区溢出；</w:t>
            </w:r>
          </w:p>
          <w:p>
            <w:pPr>
              <w:pStyle w:val="null3"/>
              <w:jc w:val="both"/>
            </w:pPr>
            <w:r>
              <w:rPr>
                <w:sz w:val="24"/>
                <w:color w:val="000000"/>
              </w:rPr>
              <w:t>2)口令猜测；</w:t>
            </w:r>
          </w:p>
          <w:p>
            <w:pPr>
              <w:pStyle w:val="null3"/>
              <w:jc w:val="both"/>
            </w:pPr>
            <w:r>
              <w:rPr>
                <w:sz w:val="24"/>
                <w:color w:val="000000"/>
              </w:rPr>
              <w:t>3)B/S或C/S应用程序测试（如果涉及C/S程序测试，需要提前准备相关客户端软件供测试使用）；</w:t>
            </w:r>
          </w:p>
        </w:tc>
      </w:tr>
      <w:tr>
        <w:tc>
          <w:tcPr>
            <w:tcW w:type="dxa" w:w="955"/>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4"/>
                <w:color w:val="000000"/>
              </w:rPr>
              <w:t>外网测试</w:t>
            </w:r>
          </w:p>
        </w:tc>
        <w:tc>
          <w:tcPr>
            <w:tcW w:type="dxa" w:w="7351"/>
            <w:tcBorders>
              <w:top w:val="none" w:color="000000" w:sz="4"/>
              <w:left w:val="non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4"/>
                <w:color w:val="000000"/>
              </w:rPr>
              <w:t>外网测试指的是渗透测试人员完全处于外部网络（例如拨号、</w:t>
            </w:r>
            <w:r>
              <w:rPr>
                <w:sz w:val="24"/>
                <w:color w:val="000000"/>
              </w:rPr>
              <w:t>ADSL或外部光纤），模拟对内部状态一无所知的外部攻击者的行为；</w:t>
            </w:r>
          </w:p>
          <w:p>
            <w:pPr>
              <w:pStyle w:val="null3"/>
              <w:jc w:val="both"/>
            </w:pPr>
            <w:r>
              <w:rPr>
                <w:sz w:val="24"/>
                <w:color w:val="000000"/>
              </w:rPr>
              <w:t>1)对网络设备的远程攻击；</w:t>
            </w:r>
          </w:p>
          <w:p>
            <w:pPr>
              <w:pStyle w:val="null3"/>
              <w:jc w:val="both"/>
            </w:pPr>
            <w:r>
              <w:rPr>
                <w:sz w:val="24"/>
                <w:color w:val="000000"/>
              </w:rPr>
              <w:t>2)口令管理安全性测试；</w:t>
            </w:r>
          </w:p>
          <w:p>
            <w:pPr>
              <w:pStyle w:val="null3"/>
              <w:jc w:val="both"/>
            </w:pPr>
            <w:r>
              <w:rPr>
                <w:sz w:val="24"/>
                <w:color w:val="000000"/>
              </w:rPr>
              <w:t>3)防火墙规则试探、规避；</w:t>
            </w:r>
          </w:p>
          <w:p>
            <w:pPr>
              <w:pStyle w:val="null3"/>
              <w:jc w:val="both"/>
            </w:pPr>
            <w:r>
              <w:rPr>
                <w:sz w:val="24"/>
                <w:color w:val="000000"/>
              </w:rPr>
              <w:t>4)Web及其它开放应用服务的安全性测试；</w:t>
            </w:r>
          </w:p>
        </w:tc>
      </w:tr>
      <w:tr>
        <w:tc>
          <w:tcPr>
            <w:tcW w:type="dxa" w:w="955"/>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4"/>
                <w:color w:val="000000"/>
              </w:rPr>
              <w:t>不同网段</w:t>
            </w:r>
            <w:r>
              <w:rPr>
                <w:sz w:val="24"/>
                <w:color w:val="000000"/>
              </w:rPr>
              <w:t>/Vlan之间的渗透</w:t>
            </w:r>
          </w:p>
        </w:tc>
        <w:tc>
          <w:tcPr>
            <w:tcW w:type="dxa" w:w="7351"/>
            <w:tcBorders>
              <w:top w:val="none" w:color="000000" w:sz="4"/>
              <w:left w:val="non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4"/>
                <w:color w:val="000000"/>
              </w:rPr>
              <w:t>这种渗透方式是从某内</w:t>
            </w:r>
            <w:r>
              <w:rPr>
                <w:sz w:val="24"/>
                <w:color w:val="000000"/>
              </w:rPr>
              <w:t>/外部网段，尝试对另一网段/Vlan进行渗透。这类测试通常可能用到的技术包括：</w:t>
            </w:r>
          </w:p>
          <w:p>
            <w:pPr>
              <w:pStyle w:val="null3"/>
              <w:jc w:val="both"/>
            </w:pPr>
            <w:r>
              <w:rPr>
                <w:sz w:val="24"/>
                <w:color w:val="000000"/>
              </w:rPr>
              <w:t>1)对网络设备的远程攻击；</w:t>
            </w:r>
          </w:p>
          <w:p>
            <w:pPr>
              <w:pStyle w:val="null3"/>
              <w:jc w:val="both"/>
            </w:pPr>
            <w:r>
              <w:rPr>
                <w:sz w:val="24"/>
                <w:color w:val="000000"/>
              </w:rPr>
              <w:t>2)对防火墙的远程攻击或规则探测、规避尝试；</w:t>
            </w:r>
          </w:p>
        </w:tc>
      </w:tr>
      <w:tr>
        <w:tc>
          <w:tcPr>
            <w:tcW w:type="dxa" w:w="955"/>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4"/>
                <w:color w:val="000000"/>
              </w:rPr>
              <w:t>深度测试</w:t>
            </w:r>
          </w:p>
        </w:tc>
        <w:tc>
          <w:tcPr>
            <w:tcW w:type="dxa" w:w="7351"/>
            <w:tcBorders>
              <w:top w:val="none" w:color="000000" w:sz="4"/>
              <w:left w:val="non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4"/>
                <w:color w:val="000000"/>
              </w:rPr>
              <w:t>SSL/TLS测试、数据库监听测试、基础结构配置管理测试、应用配置管理测试、文件扩展名处理测试、基础结构和应用管理接口测试、HTTP方法和XST测试；</w:t>
            </w:r>
          </w:p>
        </w:tc>
      </w:tr>
      <w:tr>
        <w:tc>
          <w:tcPr>
            <w:tcW w:type="dxa" w:w="955"/>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4"/>
                <w:color w:val="000000"/>
              </w:rPr>
              <w:t>认证测试</w:t>
            </w:r>
          </w:p>
        </w:tc>
        <w:tc>
          <w:tcPr>
            <w:tcW w:type="dxa" w:w="7351"/>
            <w:tcBorders>
              <w:top w:val="none" w:color="000000" w:sz="4"/>
              <w:left w:val="non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4"/>
                <w:color w:val="000000"/>
              </w:rPr>
              <w:t>加密信道证书传输、用户枚举测试、可猜解用户帐户猜测（遍历）测试、多线程暴力测试、认证架构绕过测试、记住密码和密码重置弱点测试、注销和浏览器的缓存管理测试、</w:t>
            </w:r>
            <w:r>
              <w:rPr>
                <w:sz w:val="24"/>
                <w:color w:val="000000"/>
              </w:rPr>
              <w:t>CAPTCHA测试、多因素身份验证测试(Testing Multiple Factors Authentication)、竞态条件测试；</w:t>
            </w:r>
          </w:p>
        </w:tc>
      </w:tr>
      <w:tr>
        <w:tc>
          <w:tcPr>
            <w:tcW w:type="dxa" w:w="955"/>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4"/>
                <w:color w:val="000000"/>
              </w:rPr>
              <w:t>授权测试</w:t>
            </w:r>
          </w:p>
        </w:tc>
        <w:tc>
          <w:tcPr>
            <w:tcW w:type="dxa" w:w="7351"/>
            <w:tcBorders>
              <w:top w:val="none" w:color="000000" w:sz="4"/>
              <w:left w:val="non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4"/>
                <w:color w:val="000000"/>
              </w:rPr>
              <w:t>路径遍历测试、绕过授权模式测试、权限提升测试；</w:t>
            </w:r>
          </w:p>
        </w:tc>
      </w:tr>
      <w:tr>
        <w:tc>
          <w:tcPr>
            <w:tcW w:type="dxa" w:w="955"/>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4"/>
                <w:color w:val="000000"/>
              </w:rPr>
              <w:t>会话管理测试</w:t>
            </w:r>
          </w:p>
        </w:tc>
        <w:tc>
          <w:tcPr>
            <w:tcW w:type="dxa" w:w="7351"/>
            <w:tcBorders>
              <w:top w:val="none" w:color="000000" w:sz="4"/>
              <w:left w:val="non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4"/>
                <w:color w:val="000000"/>
              </w:rPr>
              <w:t>会话管理模式测试、</w:t>
            </w:r>
            <w:r>
              <w:rPr>
                <w:sz w:val="24"/>
                <w:color w:val="000000"/>
              </w:rPr>
              <w:t>Cookies属性测试、会话固定测试、会话变量泄漏测试、跨站请求伪造（CSRF）测试；</w:t>
            </w:r>
          </w:p>
        </w:tc>
      </w:tr>
      <w:tr>
        <w:tc>
          <w:tcPr>
            <w:tcW w:type="dxa" w:w="955"/>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4"/>
                <w:color w:val="000000"/>
              </w:rPr>
              <w:t>数据验证测试</w:t>
            </w:r>
          </w:p>
        </w:tc>
        <w:tc>
          <w:tcPr>
            <w:tcW w:type="dxa" w:w="7351"/>
            <w:tcBorders>
              <w:top w:val="none" w:color="000000" w:sz="4"/>
              <w:left w:val="non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4"/>
                <w:color w:val="000000"/>
              </w:rPr>
              <w:t>跨站点脚本的测试</w:t>
            </w:r>
            <w:r>
              <w:rPr>
                <w:sz w:val="24"/>
                <w:color w:val="000000"/>
              </w:rPr>
              <w:t>(跨站脚本反射测试、跨站脚本存储测试、跨站脚本DOM测试、FLASH跨站测试)、SQL注入(Oracle测试、MySQL测试、SQL Server测试、MS ACCESS测试、PostgreSQL测试)、LDAP注入、ORM注入、XML注入、SSI注入、XPath注入、IMAP/SMTP注入、Code注入、OS命令测试、缓冲区溢出测试、孵育漏洞测试、HTTP-Splitting/Smuggling测试；</w:t>
            </w:r>
          </w:p>
        </w:tc>
      </w:tr>
      <w:tr>
        <w:tc>
          <w:tcPr>
            <w:tcW w:type="dxa" w:w="955"/>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4"/>
                <w:color w:val="000000"/>
              </w:rPr>
              <w:t>拒绝服务攻击的测试</w:t>
            </w:r>
          </w:p>
        </w:tc>
        <w:tc>
          <w:tcPr>
            <w:tcW w:type="dxa" w:w="7351"/>
            <w:tcBorders>
              <w:top w:val="none" w:color="000000" w:sz="4"/>
              <w:left w:val="non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4"/>
                <w:color w:val="000000"/>
              </w:rPr>
              <w:t>SQL通配符攻击测试、锁定用户账户、缓存溢出、分配用户指定对象、将用户输入作为循环计数器、将用户提供的数据写到磁盘、释放资源失败、存储过多会话数据；</w:t>
            </w:r>
          </w:p>
        </w:tc>
      </w:tr>
      <w:tr>
        <w:tc>
          <w:tcPr>
            <w:tcW w:type="dxa" w:w="955"/>
            <w:tcBorders>
              <w:top w:val="none" w:color="000000" w:sz="4"/>
              <w:left w:val="single" w:color="000000" w:sz="4"/>
              <w:bottom w:val="single" w:color="000000" w:sz="4"/>
              <w:right w:val="single" w:color="000000" w:sz="4"/>
            </w:tcBorders>
            <w:tcMar>
              <w:top w:type="dxa" w:w="75"/>
              <w:left w:type="dxa" w:w="150"/>
              <w:bottom w:type="dxa" w:w="75"/>
              <w:right w:type="dxa" w:w="150"/>
            </w:tcMar>
            <w:vAlign w:val="top"/>
          </w:tcPr>
          <w:p>
            <w:pPr>
              <w:pStyle w:val="null3"/>
              <w:jc w:val="center"/>
            </w:pPr>
            <w:r>
              <w:rPr>
                <w:sz w:val="24"/>
                <w:color w:val="000000"/>
              </w:rPr>
              <w:t>WEB服务</w:t>
            </w:r>
          </w:p>
          <w:p>
            <w:pPr>
              <w:pStyle w:val="null3"/>
              <w:jc w:val="center"/>
            </w:pPr>
            <w:r>
              <w:rPr>
                <w:sz w:val="24"/>
                <w:color w:val="000000"/>
              </w:rPr>
              <w:t>测试</w:t>
            </w:r>
          </w:p>
        </w:tc>
        <w:tc>
          <w:tcPr>
            <w:tcW w:type="dxa" w:w="7351"/>
            <w:tcBorders>
              <w:top w:val="none" w:color="000000" w:sz="4"/>
              <w:left w:val="none" w:color="000000" w:sz="4"/>
              <w:bottom w:val="single" w:color="000000" w:sz="4"/>
              <w:right w:val="single" w:color="000000" w:sz="4"/>
            </w:tcBorders>
            <w:tcMar>
              <w:top w:type="dxa" w:w="75"/>
              <w:left w:type="dxa" w:w="150"/>
              <w:bottom w:type="dxa" w:w="75"/>
              <w:right w:type="dxa" w:w="150"/>
            </w:tcMar>
            <w:vAlign w:val="top"/>
          </w:tcPr>
          <w:p>
            <w:pPr>
              <w:pStyle w:val="null3"/>
              <w:jc w:val="both"/>
            </w:pPr>
            <w:r>
              <w:rPr>
                <w:sz w:val="24"/>
                <w:color w:val="000000"/>
              </w:rPr>
              <w:t>WS信息收集、WSDL测试、XML结构测试、XML内容级别测试、HTTP获取参数/REST测试、淘气的SOAP附件、回放测试；</w:t>
            </w:r>
          </w:p>
        </w:tc>
      </w:tr>
    </w:tbl>
    <w:p>
      <w:pPr>
        <w:pStyle w:val="null3"/>
      </w:pPr>
      <w:r>
        <w:rPr>
          <w:sz w:val="24"/>
        </w:rPr>
        <w:t>（三）时间要求</w:t>
      </w:r>
    </w:p>
    <w:tbl>
      <w:tblPr>
        <w:tblW w:w="0" w:type="auto"/>
        <w:tblBorders>
          <w:top w:val="none" w:color="000000" w:sz="4"/>
          <w:left w:val="none" w:color="000000" w:sz="4"/>
          <w:bottom w:val="none" w:color="000000" w:sz="4"/>
          <w:right w:val="none" w:color="000000" w:sz="4"/>
          <w:insideH w:val="none"/>
          <w:insideV w:val="none"/>
        </w:tblBorders>
      </w:tblPr>
      <w:tblGrid>
        <w:gridCol w:w="829"/>
        <w:gridCol w:w="1916"/>
        <w:gridCol w:w="2144"/>
        <w:gridCol w:w="3417"/>
      </w:tblGrid>
      <w:tr>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19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5"/>
              <w:jc w:val="center"/>
            </w:pPr>
            <w:r>
              <w:rPr>
                <w:sz w:val="24"/>
                <w:b/>
                <w:color w:val="000000"/>
              </w:rPr>
              <w:t>服务名称</w:t>
            </w:r>
          </w:p>
        </w:tc>
        <w:tc>
          <w:tcPr>
            <w:tcW w:type="dxa" w:w="2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5"/>
              <w:jc w:val="center"/>
            </w:pPr>
            <w:r>
              <w:rPr>
                <w:sz w:val="24"/>
                <w:b/>
                <w:color w:val="000000"/>
              </w:rPr>
              <w:t>时间要求</w:t>
            </w:r>
          </w:p>
        </w:tc>
        <w:tc>
          <w:tcPr>
            <w:tcW w:type="dxa" w:w="3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65"/>
              <w:jc w:val="center"/>
            </w:pPr>
            <w:r>
              <w:rPr>
                <w:sz w:val="24"/>
                <w:b/>
                <w:color w:val="000000"/>
              </w:rPr>
              <w:t>完工交付文档</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4"/>
                <w:color w:val="000000"/>
              </w:rPr>
              <w:t>1</w:t>
            </w:r>
          </w:p>
        </w:tc>
        <w:tc>
          <w:tcPr>
            <w:tcW w:type="dxa" w:w="1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4"/>
                <w:color w:val="000000"/>
              </w:rPr>
              <w:t>网站漏洞扫描</w:t>
            </w:r>
          </w:p>
        </w:tc>
        <w:tc>
          <w:tcPr>
            <w:tcW w:type="dxa" w:w="2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4"/>
                <w:color w:val="000000"/>
              </w:rPr>
              <w:t>45个工作日</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4"/>
                <w:color w:val="000000"/>
              </w:rPr>
              <w:t>提供详细漏洞扫描报告</w:t>
            </w:r>
            <w:r>
              <w:rPr>
                <w:sz w:val="19"/>
              </w:rPr>
              <w:t xml:space="preserve">  </w:t>
            </w:r>
            <w:r>
              <w:rPr>
                <w:sz w:val="24"/>
                <w:color w:val="000000"/>
              </w:rPr>
              <w:t xml:space="preserve">               </w:t>
            </w:r>
            <w:r>
              <w:rPr>
                <w:sz w:val="24"/>
                <w:color w:val="000000"/>
              </w:rPr>
              <w:t>(附安全加固修复解决方案)</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4"/>
                <w:color w:val="000000"/>
              </w:rPr>
              <w:t>2</w:t>
            </w:r>
          </w:p>
        </w:tc>
        <w:tc>
          <w:tcPr>
            <w:tcW w:type="dxa" w:w="1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4"/>
                <w:color w:val="000000"/>
              </w:rPr>
              <w:t>人工渗透测试</w:t>
            </w:r>
          </w:p>
        </w:tc>
        <w:tc>
          <w:tcPr>
            <w:tcW w:type="dxa" w:w="2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4"/>
                <w:color w:val="000000"/>
              </w:rPr>
              <w:t>45个工作日</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4"/>
                <w:color w:val="000000"/>
              </w:rPr>
              <w:t>提供详细渗透测试报告</w:t>
            </w:r>
            <w:r>
              <w:rPr>
                <w:sz w:val="24"/>
                <w:color w:val="000000"/>
              </w:rPr>
              <w:t xml:space="preserve">                    </w:t>
            </w:r>
            <w:r>
              <w:rPr>
                <w:sz w:val="24"/>
                <w:color w:val="000000"/>
              </w:rPr>
              <w:t>(附安全加固修复解决方案)</w:t>
            </w:r>
          </w:p>
        </w:tc>
      </w:tr>
    </w:tbl>
    <w:p>
      <w:pPr>
        <w:pStyle w:val="null3"/>
        <w:jc w:val="both"/>
      </w:pPr>
      <w:r>
        <w:rPr>
          <w:sz w:val="24"/>
          <w:b/>
        </w:rPr>
        <w:t>七、</w:t>
      </w:r>
      <w:r>
        <w:rPr>
          <w:sz w:val="24"/>
          <w:b/>
        </w:rPr>
        <w:t>工具要求</w:t>
      </w:r>
      <w:r>
        <w:br/>
      </w:r>
      <w:r>
        <w:rPr>
          <w:sz w:val="24"/>
        </w:rPr>
        <w:t xml:space="preserve"> </w:t>
      </w:r>
      <w:r>
        <w:rPr>
          <w:sz w:val="24"/>
        </w:rPr>
        <w:t>（一）必须保证所使用的所有工具和软件不会产生所有权和知识产权纠纷，提供承诺无发生所有权和知识产权纠纷的说明函</w:t>
      </w:r>
      <w:r>
        <w:rPr>
          <w:sz w:val="24"/>
        </w:rPr>
        <w:t>，</w:t>
      </w:r>
      <w:r>
        <w:rPr>
          <w:sz w:val="24"/>
        </w:rPr>
        <w:t>原件备案；并保证工具和软件的可用性和可靠性。由此产生的一切责任由</w:t>
      </w:r>
      <w:r>
        <w:rPr>
          <w:sz w:val="24"/>
        </w:rPr>
        <w:t>乙方</w:t>
      </w:r>
      <w:r>
        <w:rPr>
          <w:sz w:val="24"/>
        </w:rPr>
        <w:t>负完全责任。</w:t>
      </w:r>
      <w:r>
        <w:br/>
      </w:r>
      <w:r>
        <w:rPr>
          <w:sz w:val="24"/>
        </w:rPr>
        <w:t xml:space="preserve"> </w:t>
      </w:r>
      <w:r>
        <w:rPr>
          <w:sz w:val="24"/>
        </w:rPr>
        <w:t>（二）本项目使用的所有服务工具和软件无需本项目</w:t>
      </w:r>
      <w:r>
        <w:rPr>
          <w:sz w:val="24"/>
        </w:rPr>
        <w:t>甲方</w:t>
      </w:r>
      <w:r>
        <w:rPr>
          <w:sz w:val="24"/>
        </w:rPr>
        <w:t>购买，均由</w:t>
      </w:r>
      <w:r>
        <w:rPr>
          <w:sz w:val="24"/>
        </w:rPr>
        <w:t>乙方</w:t>
      </w:r>
      <w:r>
        <w:rPr>
          <w:sz w:val="24"/>
        </w:rPr>
        <w:t>自行提供。</w:t>
      </w:r>
    </w:p>
    <w:p>
      <w:pPr>
        <w:pStyle w:val="null3"/>
      </w:pPr>
      <w:r>
        <w:rPr>
          <w:sz w:val="24"/>
        </w:rPr>
        <w:t>（</w:t>
      </w:r>
      <w:r>
        <w:rPr>
          <w:sz w:val="24"/>
        </w:rPr>
        <w:t>三</w:t>
      </w:r>
      <w:r>
        <w:rPr>
          <w:sz w:val="24"/>
        </w:rPr>
        <w:t>）</w:t>
      </w:r>
      <w:r>
        <w:rPr>
          <w:sz w:val="24"/>
        </w:rPr>
        <w:t>乙方</w:t>
      </w:r>
      <w:r>
        <w:rPr>
          <w:sz w:val="24"/>
        </w:rPr>
        <w:t>提供的工具和软件需满足如下要求：</w:t>
      </w:r>
    </w:p>
    <w:tbl>
      <w:tblPr>
        <w:tblW w:w="0" w:type="auto"/>
        <w:tblBorders>
          <w:top w:val="none" w:color="000000" w:sz="4"/>
          <w:left w:val="none" w:color="000000" w:sz="4"/>
          <w:bottom w:val="none" w:color="000000" w:sz="4"/>
          <w:right w:val="none" w:color="000000" w:sz="4"/>
          <w:insideH w:val="none"/>
          <w:insideV w:val="none"/>
        </w:tblBorders>
      </w:tblPr>
      <w:tblGrid>
        <w:gridCol w:w="1157"/>
        <w:gridCol w:w="7149"/>
      </w:tblGrid>
      <w:tr>
        <w:tc>
          <w:tcPr>
            <w:tcW w:type="dxa" w:w="1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工具名称</w:t>
            </w:r>
          </w:p>
        </w:tc>
        <w:tc>
          <w:tcPr>
            <w:tcW w:type="dxa" w:w="7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服务工具要求</w:t>
            </w:r>
          </w:p>
        </w:tc>
      </w:tr>
      <w:tr>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云安全检测工具</w:t>
            </w:r>
          </w:p>
        </w:tc>
        <w:tc>
          <w:tcPr>
            <w:tcW w:type="dxa" w:w="7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服务过程中提供对云平台用户进行安全检测：</w:t>
            </w:r>
          </w:p>
          <w:p>
            <w:pPr>
              <w:pStyle w:val="null3"/>
              <w:jc w:val="left"/>
            </w:pPr>
            <w:r>
              <w:rPr>
                <w:sz w:val="24"/>
              </w:rPr>
              <w:t>1、厂商应具备三年以上漏洞研究经验和独立漏洞发掘能力，自主发现的CNVD原创漏洞不少于800个以上。</w:t>
            </w:r>
          </w:p>
          <w:p>
            <w:pPr>
              <w:pStyle w:val="null3"/>
              <w:jc w:val="left"/>
            </w:pPr>
            <w:r>
              <w:rPr>
                <w:sz w:val="24"/>
              </w:rPr>
              <w:t>2、支持全局风险统计功能，通过扇形图、条状图、标签、表格等形式直观展示资产风险分布、漏洞风险等级分布、紧急漏洞、风险资产清单等信息，并可查看详情。</w:t>
            </w:r>
          </w:p>
          <w:p>
            <w:pPr>
              <w:pStyle w:val="null3"/>
              <w:jc w:val="left"/>
            </w:pPr>
            <w:r>
              <w:rPr>
                <w:sz w:val="24"/>
              </w:rPr>
              <w:t>3、支持全面扫描、资产发现、系统漏洞扫描、弱口令扫描、WEB漏洞扫描、基线配置核查六种任务类型，其中全面扫描支持系统漏洞扫描、WEB漏洞扫描、弱口令扫描同时执行。</w:t>
            </w:r>
          </w:p>
          <w:p>
            <w:pPr>
              <w:pStyle w:val="null3"/>
              <w:jc w:val="left"/>
            </w:pPr>
            <w:r>
              <w:rPr>
                <w:sz w:val="24"/>
              </w:rPr>
              <w:t>4、支持域管理功能，系统默认内置域名称、数据域、终端接入域、运维管理域、其他业务域、核心业务域、核心交换域、对外服务域、外联域等九个域，可根据</w:t>
            </w:r>
            <w:r>
              <w:rPr>
                <w:sz w:val="24"/>
              </w:rPr>
              <w:t>甲方</w:t>
            </w:r>
            <w:r>
              <w:rPr>
                <w:sz w:val="24"/>
              </w:rPr>
              <w:t>实际情况进行自定义管理。</w:t>
            </w:r>
          </w:p>
          <w:p>
            <w:pPr>
              <w:pStyle w:val="null3"/>
              <w:jc w:val="left"/>
            </w:pPr>
            <w:r>
              <w:rPr>
                <w:sz w:val="24"/>
              </w:rPr>
              <w:t>5、提供检测结果综述分析，按照等保2.0的检测项要求，统计各业务系统存在的不符合、部分符合、符合、待确认、不适用检测等项，直观了解业务系统合规情况。</w:t>
            </w:r>
          </w:p>
          <w:p>
            <w:pPr>
              <w:pStyle w:val="null3"/>
              <w:jc w:val="left"/>
            </w:pPr>
            <w:r>
              <w:rPr>
                <w:sz w:val="24"/>
              </w:rPr>
              <w:t>6、展示检测结果，每个检测结果呈现具体问题及整改建议，系统支持手动核查确认、整改后重新检测、以及手动导入全局分析和人工核查报告来对测评报告中的结果进行核查确认，手动核查确认支持单项核查确认和批量核查确认。</w:t>
            </w:r>
          </w:p>
          <w:p>
            <w:pPr>
              <w:pStyle w:val="null3"/>
              <w:jc w:val="left"/>
            </w:pPr>
            <w:r>
              <w:rPr>
                <w:sz w:val="24"/>
              </w:rPr>
              <w:t>7、产品支持对系统漏洞、WEB漏洞、基线配置、弱口令进行扫描和分析，可同时输出包含系统漏洞扫描、WEB漏洞扫描、基线配置核查、弱口令扫描结果的报表。</w:t>
            </w:r>
          </w:p>
          <w:p>
            <w:pPr>
              <w:pStyle w:val="null3"/>
              <w:jc w:val="left"/>
            </w:pPr>
            <w:r>
              <w:rPr>
                <w:sz w:val="24"/>
              </w:rPr>
              <w:t>8、支持通过SSH、TELNET、SMB、RDP等协议登录到跳板机，然后再跳转到远程目标主机进行配置核查，跳转次数不限制。</w:t>
            </w:r>
          </w:p>
          <w:p>
            <w:pPr>
              <w:pStyle w:val="null3"/>
              <w:jc w:val="left"/>
            </w:pPr>
            <w:r>
              <w:rPr>
                <w:sz w:val="24"/>
              </w:rPr>
              <w:t>9、支持对Windows、Linux等操作系统按照等保二级、等保三级要求实施基线配置核查。</w:t>
            </w:r>
          </w:p>
        </w:tc>
      </w:tr>
      <w:tr>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应急保障服务工具</w:t>
            </w:r>
          </w:p>
        </w:tc>
        <w:tc>
          <w:tcPr>
            <w:tcW w:type="dxa" w:w="7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1、支持自动扫描IP资产信息，包括：“存活IP、设备厂商、操作系统、端口、应用、数据库、中间件、服务版本”等资产指纹特征。</w:t>
            </w:r>
          </w:p>
          <w:p>
            <w:pPr>
              <w:pStyle w:val="null3"/>
              <w:jc w:val="left"/>
            </w:pPr>
            <w:r>
              <w:rPr>
                <w:sz w:val="24"/>
              </w:rPr>
              <w:t>2、支持自动识别网站资产信息，包括：“中间件信息、web框架信息、CMS&amp;OA、程序语言”等指纹信息，支持爬取网站后台、ICP备案编号、网站标题、网站返回码等属性。</w:t>
            </w:r>
          </w:p>
          <w:p>
            <w:pPr>
              <w:pStyle w:val="null3"/>
              <w:jc w:val="left"/>
            </w:pPr>
            <w:r>
              <w:rPr>
                <w:sz w:val="24"/>
              </w:rPr>
              <w:t>3、支持二级域名扫描功能，输入一级域名进行一键扫描，通过搜索互联网数据，自动获取到该域名的二级域名、网站标题、解析IP地址。</w:t>
            </w:r>
          </w:p>
          <w:p>
            <w:pPr>
              <w:pStyle w:val="null3"/>
              <w:jc w:val="left"/>
            </w:pPr>
            <w:r>
              <w:rPr>
                <w:sz w:val="24"/>
              </w:rPr>
              <w:t>4、通过爬取单位已知的网站页面，分析网页中是否包含企业单位相关的网站链接，从而发现未知网站；可配置“网段、域名”等命中规则，自动判断是否属于企业单位的网址。</w:t>
            </w:r>
          </w:p>
          <w:p>
            <w:pPr>
              <w:pStyle w:val="null3"/>
              <w:jc w:val="left"/>
            </w:pPr>
            <w:r>
              <w:rPr>
                <w:sz w:val="24"/>
              </w:rPr>
              <w:t>5、支持网站漏洞评估能力，提供多种Web应用漏洞的安全检测，如“SQL注入、跨站脚本、文件包含、CSRF、目录遍历”等网站脆弱性漏洞。</w:t>
            </w:r>
          </w:p>
          <w:p>
            <w:pPr>
              <w:pStyle w:val="null3"/>
              <w:jc w:val="left"/>
            </w:pPr>
            <w:r>
              <w:rPr>
                <w:sz w:val="24"/>
              </w:rPr>
              <w:t>6、漏洞库漏洞信息大于210000+条，与CVE、CNNVD等主流标准兼容，提供详细的漏洞描述和对应的解决方案描述。支持通过多种维度对漏洞进行检索，包括：CVE ID、CNNVD ID、漏洞名称、漏洞风险等级等维度。可基于资产的版本信息，全面、快速进行漏洞版本比对，兼容CVE 、CNNVD等漏洞库。</w:t>
            </w:r>
          </w:p>
          <w:p>
            <w:pPr>
              <w:pStyle w:val="null3"/>
              <w:jc w:val="left"/>
            </w:pPr>
            <w:r>
              <w:rPr>
                <w:sz w:val="24"/>
              </w:rPr>
              <w:t>7、支持漏洞跟踪管理，能够自动对漏洞状态进行处置，自动识别“新增、已修复、未修复”的漏洞，同时支持人工方式进行漏洞状态处置，以及编写漏洞备注。</w:t>
            </w:r>
          </w:p>
          <w:p>
            <w:pPr>
              <w:pStyle w:val="null3"/>
              <w:jc w:val="left"/>
            </w:pPr>
            <w:r>
              <w:rPr>
                <w:sz w:val="24"/>
              </w:rPr>
              <w:t>8、支持20种以上常见设备和应用的配置检查，包括操作系统、应用中间件、数据库。</w:t>
            </w:r>
          </w:p>
          <w:p>
            <w:pPr>
              <w:pStyle w:val="null3"/>
              <w:jc w:val="left"/>
            </w:pPr>
            <w:r>
              <w:rPr>
                <w:sz w:val="24"/>
              </w:rPr>
              <w:t>9、要求采用欺骗防御相关技术实现失陷主机微隔离处置。</w:t>
            </w:r>
          </w:p>
          <w:p>
            <w:pPr>
              <w:pStyle w:val="null3"/>
              <w:jc w:val="left"/>
            </w:pPr>
            <w:r>
              <w:rPr>
                <w:sz w:val="24"/>
              </w:rPr>
              <w:t>10、支持通过反向代理的方式，接入用户自身搭建的应用系统，从而实现完全仿真真实业务系统，生成完全仿真蜜罐。</w:t>
            </w:r>
          </w:p>
          <w:p>
            <w:pPr>
              <w:pStyle w:val="null3"/>
              <w:jc w:val="left"/>
            </w:pPr>
            <w:r>
              <w:rPr>
                <w:sz w:val="24"/>
              </w:rPr>
              <w:t>11、参考MITRE ATT&amp;CK，采用多种取证技术手段，还原黑客攻击入侵蜜罐的过程，形成黑客攻击链，攻击链检测包含：“针对蜜罐的探测扫描、渗透攻击、攻陷蜜罐、在蜜罐上安装后门远控程序、利用蜜罐进行跳板攻击”等入侵过程。</w:t>
            </w:r>
          </w:p>
          <w:p>
            <w:pPr>
              <w:pStyle w:val="null3"/>
              <w:jc w:val="left"/>
            </w:pPr>
            <w:r>
              <w:rPr>
                <w:sz w:val="24"/>
              </w:rPr>
              <w:t>12、支持记录攻击者的“黑客社交画像”信息，包括社交账号、手机号、昵称、用户ID、头像等信息，支持多种黑客社交画像，至少包括：QQ、百度、哔哩哔哩等6种不同类型的社交账号。</w:t>
            </w:r>
          </w:p>
          <w:p>
            <w:pPr>
              <w:pStyle w:val="null3"/>
              <w:jc w:val="left"/>
            </w:pPr>
            <w:r>
              <w:rPr>
                <w:sz w:val="24"/>
              </w:rPr>
              <w:t>13、可警告攻击者，比如灌输国家网络安全法、告知已获得相关溯源信息，发挥蜜罐威慑作用，使攻击者放弃后续的攻击行为；可灵活指定对某个攻击源IP地址发起威慑反制。</w:t>
            </w:r>
          </w:p>
          <w:p>
            <w:pPr>
              <w:pStyle w:val="null3"/>
              <w:jc w:val="left"/>
            </w:pPr>
            <w:r>
              <w:rPr>
                <w:sz w:val="24"/>
              </w:rPr>
              <w:t>14、支持生成某个监测维度报表，包括：敏感词事件报表、敏感文件事件报表、黑链事件报表、失陷主机事件报表、可用性事件报表、域名劫持事件报表、漏洞列表等各个监测维度的报表。</w:t>
            </w:r>
          </w:p>
          <w:p>
            <w:pPr>
              <w:pStyle w:val="null3"/>
              <w:jc w:val="left"/>
            </w:pPr>
            <w:r>
              <w:rPr>
                <w:sz w:val="24"/>
              </w:rPr>
              <w:t>15、展示整体安全监测概况，呈现主机资产信息以及主机监测雷达图，包含：“弱口令、可入侵漏洞、高风险漏洞”等概况；呈现攻击监测诱饵监测概况，包含：“失陷主机统计、攻击链统计、威胁趋势”等。</w:t>
            </w:r>
          </w:p>
          <w:p>
            <w:pPr>
              <w:pStyle w:val="null3"/>
              <w:jc w:val="left"/>
            </w:pPr>
            <w:r>
              <w:rPr>
                <w:sz w:val="24"/>
              </w:rPr>
              <w:t>16、支持大屏展示功能，可视化呈现监测中心的数据，包括主机资产监测概况、攻击监测诱饵监测概况，大屏界面能够自动刷新监测数据，实时展示最新监测结果。</w:t>
            </w:r>
          </w:p>
          <w:p>
            <w:pPr>
              <w:pStyle w:val="null3"/>
              <w:jc w:val="left"/>
            </w:pPr>
            <w:r>
              <w:rPr>
                <w:sz w:val="24"/>
              </w:rPr>
              <w:t>17、具有中华人民共和国国家版权局颁发的与Web应用安全检测系统相关的计算机软件著作权登记证书。</w:t>
            </w:r>
          </w:p>
        </w:tc>
      </w:tr>
      <w:tr>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攻击面管理与漏洞扫描运营平台</w:t>
            </w:r>
          </w:p>
        </w:tc>
        <w:tc>
          <w:tcPr>
            <w:tcW w:type="dxa" w:w="7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1、可根据企业主体备案名称自动关联企业备案资产信息。并支持在仅输入目标企业名称的情况下进行使用。</w:t>
            </w:r>
          </w:p>
          <w:p>
            <w:pPr>
              <w:pStyle w:val="null3"/>
              <w:jc w:val="left"/>
            </w:pPr>
            <w:r>
              <w:rPr>
                <w:sz w:val="24"/>
              </w:rPr>
              <w:t>2、发现暴露在互联网侧的域名资产及各种属性。包括：域名名称、主子域名关系、备案主体等。</w:t>
            </w:r>
          </w:p>
          <w:p>
            <w:pPr>
              <w:pStyle w:val="null3"/>
              <w:jc w:val="left"/>
            </w:pPr>
            <w:r>
              <w:rPr>
                <w:sz w:val="24"/>
              </w:rPr>
              <w:t>3、发现暴露在互联网侧的 IP 资产及各种属性。包括：IP 地址、端口数量、关联域名、归属地、运营商、ASN 等。</w:t>
            </w:r>
          </w:p>
          <w:p>
            <w:pPr>
              <w:pStyle w:val="null3"/>
              <w:jc w:val="left"/>
            </w:pPr>
            <w:r>
              <w:rPr>
                <w:sz w:val="24"/>
              </w:rPr>
              <w:t>4、支持全端口扫描探测及各种属性的识别。包括：端口、协议、服务、组件、版本等信息。</w:t>
            </w:r>
          </w:p>
          <w:p>
            <w:pPr>
              <w:pStyle w:val="null3"/>
              <w:jc w:val="left"/>
            </w:pPr>
            <w:r>
              <w:rPr>
                <w:sz w:val="24"/>
              </w:rPr>
              <w:t>5、基于网站发现结果，结合多种目录发现的方式，深度探测网站目录信息。包括：协议、端口、网站目录、层级、响应码等。</w:t>
            </w:r>
          </w:p>
          <w:p>
            <w:pPr>
              <w:pStyle w:val="null3"/>
              <w:jc w:val="left"/>
            </w:pPr>
            <w:r>
              <w:rPr>
                <w:sz w:val="24"/>
              </w:rPr>
              <w:t>6、基于网站分析结果，深度识别网站详情。包括：网站截图、网站标题、访问地址、状态码、渲染标题、网站所属业务类型等信息。</w:t>
            </w:r>
          </w:p>
          <w:p>
            <w:pPr>
              <w:pStyle w:val="null3"/>
              <w:jc w:val="left"/>
            </w:pPr>
            <w:r>
              <w:rPr>
                <w:sz w:val="24"/>
              </w:rPr>
              <w:t>7、基于网站目录及相关信息，深度识别网站资产的指纹特征。包括：产品名称、组件、版本。</w:t>
            </w:r>
          </w:p>
          <w:p>
            <w:pPr>
              <w:pStyle w:val="null3"/>
              <w:jc w:val="left"/>
            </w:pPr>
            <w:r>
              <w:rPr>
                <w:sz w:val="24"/>
              </w:rPr>
              <w:t>8、指纹类型覆盖主流 WEB 应用、中间件、开发语言和框架、内容应用（cms等）、邮件服务、安全产品、开源组件、第三方组件等。</w:t>
            </w:r>
          </w:p>
          <w:p>
            <w:pPr>
              <w:pStyle w:val="null3"/>
              <w:jc w:val="left"/>
            </w:pPr>
            <w:r>
              <w:rPr>
                <w:sz w:val="24"/>
              </w:rPr>
              <w:t>二、风险检测</w:t>
            </w:r>
          </w:p>
          <w:p>
            <w:pPr>
              <w:pStyle w:val="null3"/>
              <w:jc w:val="left"/>
            </w:pPr>
            <w:r>
              <w:rPr>
                <w:sz w:val="24"/>
              </w:rPr>
              <w:t>1、支持 1300+ 高危漏洞 PoC 检测，PoC 检测漏洞类型包括但不限于：未授权访问、注入、远程命令执行、敏感信息泄露、文件上传等。</w:t>
            </w:r>
          </w:p>
          <w:p>
            <w:pPr>
              <w:pStyle w:val="null3"/>
              <w:jc w:val="left"/>
            </w:pPr>
            <w:r>
              <w:rPr>
                <w:sz w:val="24"/>
              </w:rPr>
              <w:t>2、支持智能化弱口令检测，包括但不限于 OpenSSH、MySQL、MSSQL、MongoDB、FTP/VSFTP/ProFTPD、MemCahe、Redis、SMB、SMTP、POP3、IMAP、Oracle、LDAP、PPTP、OpenVPN、PostgresSQL、RDP等。</w:t>
            </w:r>
          </w:p>
          <w:p>
            <w:pPr>
              <w:pStyle w:val="null3"/>
              <w:jc w:val="left"/>
            </w:pPr>
            <w:r>
              <w:rPr>
                <w:sz w:val="24"/>
              </w:rPr>
              <w:t>三、运营管理</w:t>
            </w:r>
          </w:p>
          <w:p>
            <w:pPr>
              <w:pStyle w:val="null3"/>
              <w:jc w:val="both"/>
            </w:pPr>
            <w:r>
              <w:rPr>
                <w:sz w:val="24"/>
              </w:rPr>
              <w:t>1、支持域名递归解析，支持泛域名解析降噪。</w:t>
            </w:r>
          </w:p>
          <w:p>
            <w:pPr>
              <w:pStyle w:val="null3"/>
              <w:jc w:val="both"/>
            </w:pPr>
            <w:r>
              <w:rPr>
                <w:sz w:val="24"/>
              </w:rPr>
              <w:t>2、支持多种风险详情内容展示，包括：处理状态、风险名称、关联主体、描述、危害、证明、修复建议、参考资料，首次发现时间及最近发现时间等。</w:t>
            </w:r>
          </w:p>
          <w:p>
            <w:pPr>
              <w:pStyle w:val="null3"/>
              <w:jc w:val="both"/>
            </w:pPr>
            <w:r>
              <w:rPr>
                <w:sz w:val="24"/>
              </w:rPr>
              <w:t>3、支持 HTTP 类风险判断请求及响应的展示。</w:t>
            </w:r>
          </w:p>
          <w:p>
            <w:pPr>
              <w:pStyle w:val="null3"/>
              <w:jc w:val="both"/>
            </w:pPr>
            <w:r>
              <w:rPr>
                <w:sz w:val="24"/>
              </w:rPr>
              <w:t>4、支持扫描任务的手动运行及自动运行，支持查看任务执行过程。</w:t>
            </w:r>
          </w:p>
          <w:p>
            <w:pPr>
              <w:pStyle w:val="null3"/>
              <w:jc w:val="left"/>
            </w:pPr>
            <w:r>
              <w:rPr>
                <w:sz w:val="24"/>
              </w:rPr>
              <w:t>5、支持多种资产根据不同属性进行聚类展示。包括：网站状态码、网站标题、 WEB 框架、业务类型、应用组件、服务名称、端口号、服务类别、 ASN 、运营商、网段、地理位置等。</w:t>
            </w:r>
          </w:p>
          <w:p>
            <w:pPr>
              <w:pStyle w:val="null3"/>
              <w:jc w:val="left"/>
            </w:pPr>
            <w:r>
              <w:rPr>
                <w:sz w:val="24"/>
              </w:rPr>
              <w:t>四、告警转发</w:t>
            </w:r>
          </w:p>
          <w:p>
            <w:pPr>
              <w:pStyle w:val="null3"/>
              <w:jc w:val="both"/>
            </w:pPr>
            <w:r>
              <w:rPr>
                <w:sz w:val="24"/>
              </w:rPr>
              <w:t>1、支持原厂自有公众号进行告警，提供公众号告警样例截图。</w:t>
            </w:r>
          </w:p>
          <w:p>
            <w:pPr>
              <w:pStyle w:val="null3"/>
              <w:jc w:val="both"/>
            </w:pPr>
            <w:r>
              <w:rPr>
                <w:sz w:val="24"/>
              </w:rPr>
              <w:t>2、支持邮件的方式发送告警。</w:t>
            </w:r>
          </w:p>
          <w:p>
            <w:pPr>
              <w:pStyle w:val="null3"/>
              <w:jc w:val="both"/>
            </w:pPr>
            <w:r>
              <w:rPr>
                <w:sz w:val="24"/>
              </w:rPr>
              <w:t>3、支持钉钉机器人发送告警。</w:t>
            </w:r>
          </w:p>
          <w:p>
            <w:pPr>
              <w:pStyle w:val="null3"/>
              <w:jc w:val="left"/>
            </w:pPr>
            <w:r>
              <w:rPr>
                <w:sz w:val="24"/>
              </w:rPr>
              <w:t>4、支持企业微信机器人发送告警。</w:t>
            </w:r>
          </w:p>
          <w:p>
            <w:pPr>
              <w:pStyle w:val="null3"/>
              <w:jc w:val="left"/>
            </w:pPr>
            <w:r>
              <w:rPr>
                <w:sz w:val="24"/>
              </w:rPr>
              <w:t>五、交付及报告</w:t>
            </w:r>
          </w:p>
          <w:p>
            <w:pPr>
              <w:pStyle w:val="null3"/>
              <w:jc w:val="both"/>
            </w:pPr>
            <w:r>
              <w:rPr>
                <w:sz w:val="24"/>
              </w:rPr>
              <w:t>1、SAAS 模式交付，微信扫码即可直接注册使⽤。</w:t>
            </w:r>
          </w:p>
          <w:p>
            <w:pPr>
              <w:pStyle w:val="null3"/>
              <w:jc w:val="both"/>
            </w:pPr>
            <w:r>
              <w:rPr>
                <w:sz w:val="24"/>
              </w:rPr>
              <w:t>2、支持报告的生成及下载，支持任意时间手动生成报告。报告内容至少包含漏洞详情、资产详情及上述内容的变化趋势图。</w:t>
            </w:r>
          </w:p>
          <w:p>
            <w:pPr>
              <w:pStyle w:val="null3"/>
              <w:numPr>
                <w:ilvl w:val="0"/>
                <w:numId w:val="2"/>
              </w:numPr>
              <w:jc w:val="left"/>
            </w:pPr>
            <w:r>
              <w:rPr>
                <w:sz w:val="24"/>
              </w:rPr>
              <w:t>资产探测</w:t>
            </w:r>
          </w:p>
        </w:tc>
      </w:tr>
    </w:tbl>
    <w:p>
      <w:pPr>
        <w:pStyle w:val="null3"/>
        <w:jc w:val="both"/>
      </w:pPr>
      <w:r>
        <w:rPr>
          <w:sz w:val="24"/>
          <w:b/>
        </w:rPr>
        <w:t>八、</w:t>
      </w:r>
      <w:r>
        <w:rPr>
          <w:sz w:val="24"/>
          <w:b/>
        </w:rPr>
        <w:t>验收要求：</w:t>
      </w:r>
    </w:p>
    <w:p>
      <w:pPr>
        <w:pStyle w:val="null3"/>
        <w:jc w:val="both"/>
      </w:pPr>
      <w:r>
        <w:rPr>
          <w:sz w:val="24"/>
          <w:b/>
        </w:rPr>
        <w:t>1.</w:t>
      </w:r>
      <w:r>
        <w:rPr>
          <w:sz w:val="24"/>
        </w:rPr>
        <w:t>验收方式及流程：按照佛山市电子政务项目管理办法组织项目验收，项目服务期满且所有工作内容完成以后，由乙方提交验收申请，由甲方组织验收小组，负责对项目进行验收。</w:t>
      </w:r>
      <w:r>
        <w:br/>
      </w:r>
      <w:r>
        <w:rPr>
          <w:sz w:val="24"/>
        </w:rPr>
        <w:t>2.甲方在收到乙方项目验收申请之日起7日内按照合同的约定对履约情况进行验收。乙方需为验收提供必需的一切条件及相关费用，并提供本项目验收所需资料，积极配合甲方完成验收工作。</w:t>
      </w:r>
      <w:r>
        <w:br/>
      </w:r>
      <w:r>
        <w:rPr>
          <w:sz w:val="24"/>
        </w:rPr>
        <w:t>3.验收标准：验收的主要标准和依据包括国家强制性标准（如果没有强制性标准，则应符合推荐性标准）、项目采购文件、响应文件、项目合同等。</w:t>
      </w:r>
    </w:p>
    <w:p>
      <w:pPr>
        <w:pStyle w:val="null3"/>
        <w:jc w:val="both"/>
      </w:pPr>
      <w:r>
        <w:rPr>
          <w:sz w:val="24"/>
          <w:b/>
        </w:rPr>
        <w:t>九、违约责任：</w:t>
      </w:r>
    </w:p>
    <w:p>
      <w:pPr>
        <w:pStyle w:val="null3"/>
        <w:jc w:val="both"/>
      </w:pPr>
      <w:r>
        <w:rPr>
          <w:sz w:val="24"/>
        </w:rPr>
        <w:t>1.乙方未按要求履行合同义务时，须从违约之日起每日按合同总额的    比例向甲方支付违约金；逾期    日以上时，甲方有权终止合同，由此造成甲方的经济损失由乙方承担。违约金不足以弥补损失的，乙方应按全额赔偿。</w:t>
      </w:r>
    </w:p>
    <w:p>
      <w:pPr>
        <w:pStyle w:val="null3"/>
        <w:jc w:val="both"/>
      </w:pPr>
      <w:r>
        <w:rPr>
          <w:sz w:val="24"/>
        </w:rPr>
        <w:t>2.甲方未按要求履行合同义务时，或无故拖延验收、付款时，甲方须向乙方支付滞纳金，标准为每日按逾期应付款总额的</w:t>
      </w:r>
      <w:r>
        <w:rPr/>
        <w:t xml:space="preserve">   </w:t>
      </w:r>
      <w:r>
        <w:rPr>
          <w:sz w:val="24"/>
        </w:rPr>
        <w:t>累计。</w:t>
      </w:r>
    </w:p>
    <w:p>
      <w:pPr>
        <w:pStyle w:val="null3"/>
        <w:jc w:val="both"/>
      </w:pPr>
      <w:r>
        <w:rPr>
          <w:sz w:val="24"/>
        </w:rPr>
        <w:t>3.其他违约情况：</w:t>
      </w:r>
      <w:r>
        <w:rPr>
          <w:u w:val="single"/>
        </w:rPr>
        <w:t xml:space="preserve">                                                      </w:t>
      </w:r>
    </w:p>
    <w:p>
      <w:pPr>
        <w:pStyle w:val="null3"/>
        <w:jc w:val="both"/>
      </w:pPr>
      <w:r>
        <w:rPr>
          <w:sz w:val="24"/>
          <w:b/>
        </w:rPr>
        <w:t>十、提出异议的时间和方法：</w:t>
      </w:r>
    </w:p>
    <w:p>
      <w:pPr>
        <w:pStyle w:val="null3"/>
        <w:jc w:val="both"/>
      </w:pPr>
      <w:r>
        <w:rPr>
          <w:sz w:val="24"/>
        </w:rPr>
        <w:t>1.甲方有异议时，应</w:t>
      </w:r>
      <w:r>
        <w:rPr>
          <w:u w:val="single"/>
        </w:rPr>
        <w:t xml:space="preserve">     </w:t>
      </w:r>
      <w:r>
        <w:rPr>
          <w:sz w:val="24"/>
        </w:rPr>
        <w:t>天内向乙方提出书面异议。</w:t>
      </w:r>
    </w:p>
    <w:p>
      <w:pPr>
        <w:pStyle w:val="null3"/>
        <w:jc w:val="both"/>
      </w:pPr>
      <w:r>
        <w:rPr>
          <w:sz w:val="24"/>
        </w:rPr>
        <w:t>2.乙方在接到甲方书面异议后，应在3天内负责处理并函复甲方处理情况，否则，即视为默认甲方提出的异议和处理意见。</w:t>
      </w:r>
    </w:p>
    <w:p>
      <w:pPr>
        <w:pStyle w:val="null3"/>
        <w:jc w:val="both"/>
      </w:pPr>
      <w:r>
        <w:rPr>
          <w:sz w:val="24"/>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4"/>
          <w:b/>
        </w:rPr>
        <w:t>十一、争议的解决：</w:t>
      </w:r>
    </w:p>
    <w:p>
      <w:pPr>
        <w:pStyle w:val="null3"/>
        <w:jc w:val="both"/>
      </w:pPr>
      <w:r>
        <w:rPr>
          <w:sz w:val="24"/>
        </w:rPr>
        <w:t>1.合同履行过程中发生的任何争议，如双方未能通过友好协商解决，应向佛山市有管辖权的人民法院提起诉讼。</w:t>
      </w:r>
    </w:p>
    <w:p>
      <w:pPr>
        <w:pStyle w:val="null3"/>
        <w:jc w:val="both"/>
      </w:pPr>
      <w:r>
        <w:rPr>
          <w:sz w:val="24"/>
        </w:rPr>
        <w:t>2.法院审理期间，除提交法院审理的事项外，其它无争议的事项和条款仍应继续履行。</w:t>
      </w:r>
    </w:p>
    <w:p>
      <w:pPr>
        <w:pStyle w:val="null3"/>
        <w:jc w:val="both"/>
      </w:pPr>
      <w:r>
        <w:rPr>
          <w:sz w:val="24"/>
          <w:b/>
        </w:rPr>
        <w:t>十二、不可抗力：</w:t>
      </w:r>
    </w:p>
    <w:p>
      <w:pPr>
        <w:pStyle w:val="null3"/>
        <w:jc w:val="both"/>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十三、税费：</w:t>
      </w:r>
    </w:p>
    <w:p>
      <w:pPr>
        <w:pStyle w:val="null3"/>
        <w:jc w:val="both"/>
      </w:pPr>
      <w:r>
        <w:rPr>
          <w:sz w:val="24"/>
        </w:rPr>
        <w:t>1.本合同实施过程中所发生的一切税费及不可预见费均由乙方承担。</w:t>
      </w:r>
    </w:p>
    <w:p>
      <w:pPr>
        <w:pStyle w:val="null3"/>
        <w:jc w:val="both"/>
      </w:pPr>
      <w:r>
        <w:rPr>
          <w:sz w:val="24"/>
        </w:rPr>
        <w:t>2.乙方依照税务规章优先在合同履约地开具发票及纳税，咨询：0757-12366。</w:t>
      </w:r>
    </w:p>
    <w:p>
      <w:pPr>
        <w:pStyle w:val="null3"/>
        <w:jc w:val="both"/>
      </w:pPr>
      <w:r>
        <w:rPr>
          <w:sz w:val="24"/>
          <w:b/>
        </w:rPr>
        <w:t>十四、合同生效与合同备案：</w:t>
      </w:r>
    </w:p>
    <w:p>
      <w:pPr>
        <w:pStyle w:val="null3"/>
        <w:jc w:val="both"/>
      </w:pPr>
      <w:r>
        <w:rPr>
          <w:sz w:val="24"/>
        </w:rPr>
        <w:t>1.本合同在甲乙双方法人代表或其授权代表签字盖章后生效。</w:t>
      </w:r>
    </w:p>
    <w:p>
      <w:pPr>
        <w:pStyle w:val="null3"/>
        <w:jc w:val="both"/>
      </w:pPr>
      <w:r>
        <w:rPr>
          <w:sz w:val="24"/>
        </w:rPr>
        <w:t>2.自采购合同签订之日起7个工作日内，由甲方按照有关规定将采购合同副本报同级人民政府财政部门（政府采购管理部门）备案。</w:t>
      </w:r>
    </w:p>
    <w:p>
      <w:pPr>
        <w:pStyle w:val="null3"/>
        <w:jc w:val="both"/>
      </w:pPr>
      <w:r>
        <w:rPr>
          <w:sz w:val="24"/>
          <w:b/>
        </w:rPr>
        <w:t>十五、乙方应提供的资料内容：</w:t>
      </w:r>
    </w:p>
    <w:p>
      <w:pPr>
        <w:pStyle w:val="null3"/>
        <w:jc w:val="both"/>
      </w:pPr>
      <w:r>
        <w:rPr>
          <w:b/>
          <w:u w:val="single"/>
        </w:rPr>
        <w:t xml:space="preserve">                                                            </w:t>
      </w:r>
      <w:r>
        <w:rPr>
          <w:sz w:val="24"/>
          <w:b/>
        </w:rPr>
        <w:t>。</w:t>
      </w:r>
    </w:p>
    <w:p>
      <w:pPr>
        <w:pStyle w:val="null3"/>
        <w:jc w:val="both"/>
      </w:pPr>
      <w:r>
        <w:rPr>
          <w:sz w:val="24"/>
          <w:b/>
        </w:rPr>
        <w:t>十六、关于政府采购合同融资</w:t>
      </w:r>
    </w:p>
    <w:p>
      <w:pPr>
        <w:pStyle w:val="null3"/>
        <w:jc w:val="both"/>
      </w:pPr>
      <w:r>
        <w:rPr>
          <w:sz w:val="24"/>
        </w:rPr>
        <w:t>1.乙方是否已申请政府采购合同融资：</w:t>
      </w:r>
      <w:r>
        <w:rPr>
          <w:sz w:val="24"/>
          <w:u w:val="single"/>
        </w:rPr>
        <w:t xml:space="preserve"> </w:t>
      </w:r>
      <w:r>
        <w:rPr>
          <w:sz w:val="24"/>
          <w:u w:val="single"/>
        </w:rPr>
        <w:t>是</w:t>
      </w:r>
      <w:r>
        <w:rPr>
          <w:sz w:val="24"/>
          <w:u w:val="single"/>
        </w:rPr>
        <w:t xml:space="preserve">/否  </w:t>
      </w:r>
      <w:r>
        <w:rPr>
          <w:sz w:val="24"/>
        </w:rPr>
        <w:t>；</w:t>
      </w:r>
    </w:p>
    <w:p>
      <w:pPr>
        <w:pStyle w:val="null3"/>
        <w:jc w:val="both"/>
      </w:pPr>
      <w:r>
        <w:rPr>
          <w:sz w:val="24"/>
        </w:rPr>
        <w:t>2.融资银行及联系方式：                                                。</w:t>
      </w:r>
    </w:p>
    <w:p>
      <w:pPr>
        <w:pStyle w:val="null3"/>
        <w:jc w:val="both"/>
      </w:pPr>
      <w:r>
        <w:rPr>
          <w:sz w:val="24"/>
        </w:rPr>
        <w:t>3.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4"/>
          <w:b/>
        </w:rPr>
        <w:t>十七、其它：</w:t>
      </w:r>
    </w:p>
    <w:p>
      <w:pPr>
        <w:pStyle w:val="null3"/>
        <w:jc w:val="both"/>
      </w:pPr>
      <w:r>
        <w:rPr>
          <w:sz w:val="24"/>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4"/>
        </w:rPr>
        <w:t>2.如一方（包括联系人）地址、电话、传真号码有变更，应在变更后3个工作日内书面通知对方联系人或负责人，否则，因此造成的损失由未履行通知义务方承担相应责任。</w:t>
      </w:r>
    </w:p>
    <w:p>
      <w:pPr>
        <w:pStyle w:val="null3"/>
        <w:jc w:val="both"/>
      </w:pPr>
      <w:r>
        <w:rPr>
          <w:sz w:val="24"/>
        </w:rPr>
        <w:t>3.未经甲方书面同意，乙方不得擅自向第三方转让其主体性和关键性合同义务。</w:t>
      </w:r>
    </w:p>
    <w:p>
      <w:pPr>
        <w:pStyle w:val="null3"/>
        <w:jc w:val="both"/>
      </w:pPr>
      <w:r>
        <w:rPr>
          <w:sz w:val="24"/>
        </w:rPr>
        <w:t>4.本合同一式</w:t>
      </w:r>
      <w:r>
        <w:rPr>
          <w:u w:val="single"/>
        </w:rPr>
        <w:t xml:space="preserve">    </w:t>
      </w:r>
      <w:r>
        <w:rPr>
          <w:sz w:val="24"/>
        </w:rPr>
        <w:t>份，甲方执</w:t>
      </w:r>
      <w:r>
        <w:rPr>
          <w:u w:val="single"/>
        </w:rPr>
        <w:t xml:space="preserve">   </w:t>
      </w:r>
      <w:r>
        <w:rPr>
          <w:sz w:val="24"/>
        </w:rPr>
        <w:t>份，乙方执</w:t>
      </w:r>
      <w:r>
        <w:rPr>
          <w:u w:val="single"/>
        </w:rPr>
        <w:t xml:space="preserve">  </w:t>
      </w:r>
      <w:r>
        <w:rPr>
          <w:sz w:val="24"/>
        </w:rPr>
        <w:t>份。</w:t>
      </w:r>
    </w:p>
    <w:p>
      <w:pPr>
        <w:pStyle w:val="null3"/>
        <w:jc w:val="both"/>
      </w:pPr>
      <w:r>
        <w:rPr>
          <w:sz w:val="24"/>
        </w:rPr>
        <w:t>5.本合同（含附件）共计</w:t>
      </w:r>
      <w:r>
        <w:rPr>
          <w:u w:val="single"/>
        </w:rPr>
        <w:t xml:space="preserve">    </w:t>
      </w:r>
      <w:r>
        <w:rPr>
          <w:sz w:val="24"/>
        </w:rPr>
        <w:t>页，缺页之合同为无效合同。</w:t>
      </w:r>
    </w:p>
    <w:p>
      <w:pPr>
        <w:pStyle w:val="null3"/>
        <w:jc w:val="both"/>
      </w:pPr>
      <w:r>
        <w:rPr>
          <w:sz w:val="24"/>
        </w:rPr>
        <w:t>6.本合同签约履约地点：</w:t>
      </w:r>
      <w:r>
        <w:rPr>
          <w:u w:val="single"/>
        </w:rPr>
        <w:t xml:space="preserve">          </w:t>
      </w:r>
      <w:r>
        <w:rPr>
          <w:sz w:val="24"/>
        </w:rPr>
        <w:t>。</w:t>
      </w:r>
    </w:p>
    <w:p>
      <w:pPr>
        <w:pStyle w:val="null3"/>
        <w:jc w:val="both"/>
      </w:pPr>
      <w:r>
        <w:rPr>
          <w:sz w:val="24"/>
        </w:rPr>
        <w:t>7.本合同所指“书面通知”包括但不限于短信、电子邮件等数据电文的通知形式，到达时间以民事诉讼法的规定为准，但进行书面通知前后，通知方均有义务电话确认通知事项。</w:t>
      </w:r>
    </w:p>
    <w:p>
      <w:pPr>
        <w:pStyle w:val="null3"/>
        <w:jc w:val="both"/>
      </w:pPr>
      <w:r>
        <w:rPr>
          <w:sz w:val="24"/>
        </w:rPr>
        <w:t>8.双方均已对以上各条款及附件作充分了解，并明确理解由此而产生的相关权责。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25"/>
        <w:gridCol w:w="3948"/>
        <w:gridCol w:w="133"/>
      </w:tblGrid>
      <w:tr>
        <w:tc>
          <w:tcPr>
            <w:tcW w:type="dxa" w:w="422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4"/>
                <w:b/>
                <w:color w:val="000000"/>
                <w:shd w:fill="FFFFFF" w:val="clear"/>
              </w:rPr>
              <w:t>甲方（盖章）：</w:t>
            </w:r>
          </w:p>
          <w:p>
            <w:pPr>
              <w:pStyle w:val="null3"/>
            </w:pPr>
            <w:r>
              <w:rPr>
                <w:sz w:val="24"/>
                <w:color w:val="000000"/>
                <w:shd w:fill="FFFFFF" w:val="clear"/>
              </w:rPr>
              <w:t>代表：</w:t>
            </w:r>
            <w:r>
              <w:rPr>
                <w:sz w:val="19"/>
                <w:u w:val="single"/>
              </w:rPr>
              <w:t xml:space="preserve">                              </w:t>
            </w:r>
            <w:r>
              <w:rPr>
                <w:sz w:val="19"/>
              </w:rPr>
              <w:t xml:space="preserve"> </w:t>
            </w:r>
          </w:p>
          <w:p>
            <w:pPr>
              <w:pStyle w:val="null3"/>
            </w:pPr>
            <w:r>
              <w:rPr>
                <w:sz w:val="24"/>
                <w:color w:val="000000"/>
                <w:shd w:fill="FFFFFF" w:val="clear"/>
              </w:rPr>
              <w:t>地址：</w:t>
            </w:r>
          </w:p>
          <w:p>
            <w:pPr>
              <w:pStyle w:val="null3"/>
            </w:pPr>
            <w:r>
              <w:rPr>
                <w:sz w:val="24"/>
                <w:color w:val="000000"/>
                <w:shd w:fill="FFFFFF" w:val="clear"/>
              </w:rPr>
              <w:t>电话：</w:t>
            </w:r>
          </w:p>
          <w:p>
            <w:pPr>
              <w:pStyle w:val="null3"/>
            </w:pPr>
            <w:r>
              <w:rPr>
                <w:sz w:val="24"/>
                <w:color w:val="000000"/>
                <w:shd w:fill="FFFFFF" w:val="clear"/>
              </w:rPr>
              <w:t>传真：</w:t>
            </w:r>
          </w:p>
          <w:p>
            <w:pPr>
              <w:pStyle w:val="null3"/>
            </w:pPr>
            <w:r>
              <w:rPr>
                <w:sz w:val="24"/>
                <w:color w:val="000000"/>
                <w:shd w:fill="FFFFFF" w:val="clear"/>
              </w:rPr>
              <w:t>日期：</w:t>
            </w:r>
            <w:r>
              <w:rPr>
                <w:sz w:val="19"/>
              </w:rPr>
              <w:t xml:space="preserve">           </w:t>
            </w:r>
            <w:r>
              <w:rPr>
                <w:sz w:val="24"/>
                <w:color w:val="000000"/>
                <w:shd w:fill="FFFFFF" w:val="clear"/>
              </w:rPr>
              <w:t>年</w:t>
            </w:r>
            <w:r>
              <w:rPr>
                <w:sz w:val="19"/>
              </w:rPr>
              <w:t xml:space="preserve">     </w:t>
            </w:r>
            <w:r>
              <w:rPr>
                <w:sz w:val="24"/>
                <w:color w:val="000000"/>
                <w:shd w:fill="FFFFFF" w:val="clear"/>
              </w:rPr>
              <w:t>月</w:t>
            </w:r>
            <w:r>
              <w:rPr>
                <w:sz w:val="19"/>
              </w:rPr>
              <w:t xml:space="preserve">    </w:t>
            </w:r>
            <w:r>
              <w:rPr>
                <w:sz w:val="24"/>
                <w:color w:val="000000"/>
                <w:shd w:fill="FFFFFF" w:val="clear"/>
              </w:rPr>
              <w:t>日</w:t>
            </w:r>
          </w:p>
        </w:tc>
        <w:tc>
          <w:tcPr>
            <w:tcW w:type="dxa" w:w="394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shd w:fill="FFFFFF" w:val="clear"/>
              </w:rPr>
              <w:t>乙方（盖章）：</w:t>
            </w:r>
          </w:p>
          <w:p>
            <w:pPr>
              <w:pStyle w:val="null3"/>
            </w:pPr>
            <w:r>
              <w:rPr>
                <w:sz w:val="24"/>
                <w:color w:val="000000"/>
                <w:shd w:fill="FFFFFF" w:val="clear"/>
              </w:rPr>
              <w:t>代表：</w:t>
            </w:r>
            <w:r>
              <w:rPr>
                <w:sz w:val="19"/>
                <w:u w:val="single"/>
              </w:rPr>
              <w:t xml:space="preserve">                           </w:t>
            </w:r>
          </w:p>
          <w:p>
            <w:pPr>
              <w:pStyle w:val="null3"/>
            </w:pPr>
            <w:r>
              <w:rPr>
                <w:sz w:val="24"/>
                <w:color w:val="000000"/>
                <w:shd w:fill="FFFFFF" w:val="clear"/>
              </w:rPr>
              <w:t>地址：</w:t>
            </w:r>
          </w:p>
          <w:p>
            <w:pPr>
              <w:pStyle w:val="null3"/>
            </w:pPr>
            <w:r>
              <w:rPr>
                <w:sz w:val="24"/>
                <w:color w:val="000000"/>
                <w:shd w:fill="FFFFFF" w:val="clear"/>
              </w:rPr>
              <w:t>电话：</w:t>
            </w:r>
          </w:p>
          <w:p>
            <w:pPr>
              <w:pStyle w:val="null3"/>
            </w:pPr>
            <w:r>
              <w:rPr>
                <w:sz w:val="24"/>
                <w:color w:val="000000"/>
                <w:shd w:fill="FFFFFF" w:val="clear"/>
              </w:rPr>
              <w:t>传真：</w:t>
            </w:r>
          </w:p>
          <w:p>
            <w:pPr>
              <w:pStyle w:val="null3"/>
            </w:pPr>
            <w:r>
              <w:rPr>
                <w:sz w:val="24"/>
                <w:color w:val="000000"/>
                <w:shd w:fill="FFFFFF" w:val="clear"/>
              </w:rPr>
              <w:t>日期：</w:t>
            </w:r>
            <w:r>
              <w:rPr>
                <w:sz w:val="19"/>
              </w:rPr>
              <w:t xml:space="preserve">        </w:t>
            </w:r>
            <w:r>
              <w:rPr>
                <w:sz w:val="24"/>
                <w:color w:val="000000"/>
                <w:shd w:fill="FFFFFF" w:val="clear"/>
              </w:rPr>
              <w:t>年</w:t>
            </w:r>
            <w:r>
              <w:rPr>
                <w:sz w:val="19"/>
              </w:rPr>
              <w:t xml:space="preserve">     </w:t>
            </w:r>
            <w:r>
              <w:rPr>
                <w:sz w:val="24"/>
                <w:color w:val="000000"/>
                <w:shd w:fill="FFFFFF" w:val="clear"/>
              </w:rPr>
              <w:t>月</w:t>
            </w:r>
            <w:r>
              <w:rPr>
                <w:sz w:val="19"/>
              </w:rPr>
              <w:t xml:space="preserve">     </w:t>
            </w:r>
            <w:r>
              <w:rPr>
                <w:sz w:val="24"/>
                <w:color w:val="000000"/>
                <w:shd w:fill="FFFFFF" w:val="clear"/>
              </w:rPr>
              <w:t>日</w:t>
            </w:r>
          </w:p>
        </w:tc>
        <w:tc>
          <w:tcPr>
            <w:tcW w:type="dxa" w:w="1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422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81"/>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4"/>
                <w:b/>
                <w:color w:val="000000"/>
                <w:shd w:fill="FFFFFF" w:val="clear"/>
              </w:rPr>
              <w:t>收款方、开票方须与乙方一致，专户为：</w:t>
            </w:r>
          </w:p>
          <w:p>
            <w:pPr>
              <w:pStyle w:val="null3"/>
            </w:pPr>
            <w:r>
              <w:rPr>
                <w:sz w:val="24"/>
                <w:color w:val="000000"/>
                <w:shd w:fill="FFFFFF" w:val="clear"/>
              </w:rPr>
              <w:t>开户名称：</w:t>
            </w:r>
          </w:p>
          <w:p>
            <w:pPr>
              <w:pStyle w:val="null3"/>
            </w:pPr>
            <w:r>
              <w:rPr>
                <w:sz w:val="24"/>
                <w:color w:val="000000"/>
                <w:shd w:fill="FFFFFF" w:val="clear"/>
              </w:rPr>
              <w:t>银行账号：</w:t>
            </w:r>
          </w:p>
          <w:p>
            <w:pPr>
              <w:pStyle w:val="null3"/>
            </w:pPr>
            <w:r>
              <w:rPr>
                <w:sz w:val="24"/>
                <w:color w:val="000000"/>
                <w:shd w:fill="FFFFFF" w:val="clear"/>
              </w:rPr>
              <w:t>开</w:t>
            </w:r>
            <w:r>
              <w:rPr>
                <w:sz w:val="19"/>
              </w:rPr>
              <w:t xml:space="preserve"> </w:t>
            </w:r>
            <w:r>
              <w:rPr>
                <w:sz w:val="24"/>
                <w:color w:val="000000"/>
                <w:shd w:fill="FFFFFF" w:val="clear"/>
              </w:rPr>
              <w:t>户</w:t>
            </w:r>
            <w:r>
              <w:rPr>
                <w:sz w:val="19"/>
              </w:rPr>
              <w:t xml:space="preserve"> </w:t>
            </w:r>
            <w:r>
              <w:rPr>
                <w:sz w:val="24"/>
                <w:color w:val="000000"/>
                <w:shd w:fill="FFFFFF" w:val="clear"/>
              </w:rPr>
              <w:t>行：</w:t>
            </w:r>
          </w:p>
        </w:tc>
      </w:tr>
    </w:tbl>
    <w:p>
      <w:pPr>
        <w:pStyle w:val="null3"/>
      </w:pPr>
      <w:r>
        <w:rPr>
          <w:sz w:val="24"/>
          <w:b/>
          <w:color w:val="000000"/>
          <w:shd w:fill="FFFFFF" w:val="clear"/>
        </w:rPr>
        <w:t>见证单位：</w:t>
      </w:r>
    </w:p>
    <w:p>
      <w:pPr>
        <w:pStyle w:val="null3"/>
      </w:pPr>
      <w:r>
        <w:rPr>
          <w:sz w:val="24"/>
          <w:b/>
          <w:color w:val="000000"/>
          <w:shd w:fill="FFFFFF" w:val="clear"/>
        </w:rPr>
        <w:t>见证人员：</w:t>
      </w:r>
    </w:p>
    <w:p>
      <w:pPr>
        <w:pStyle w:val="null3"/>
      </w:pPr>
      <w:r>
        <w:rPr>
          <w:sz w:val="24"/>
          <w:b/>
          <w:color w:val="000000"/>
          <w:shd w:fill="FFFFFF" w:val="clear"/>
        </w:rPr>
        <w:t xml:space="preserve">日期：   </w:t>
      </w:r>
      <w:r>
        <w:rPr>
          <w:sz w:val="24"/>
          <w:color w:val="000000"/>
          <w:shd w:fill="FFFFFF" w:val="clear"/>
        </w:rPr>
        <w:t>年</w:t>
      </w:r>
      <w:r>
        <w:rPr/>
        <w:t xml:space="preserve">     </w:t>
      </w:r>
      <w:r>
        <w:rPr>
          <w:sz w:val="24"/>
          <w:color w:val="000000"/>
          <w:shd w:fill="FFFFFF" w:val="clear"/>
        </w:rPr>
        <w:t>月</w:t>
      </w:r>
      <w:r>
        <w:rPr/>
        <w:t xml:space="preserve">     </w:t>
      </w:r>
      <w:r>
        <w:rPr>
          <w:sz w:val="24"/>
          <w:color w:val="000000"/>
          <w:shd w:fill="FFFFFF" w:val="clear"/>
        </w:rPr>
        <w:t>日</w:t>
      </w:r>
    </w:p>
    <w:p>
      <w:pPr>
        <w:pStyle w:val="null3"/>
      </w:pPr>
      <w:r>
        <w:rPr/>
        <w:t xml:space="preserve"> </w:t>
      </w:r>
    </w:p>
    <w:p>
      <w:pPr>
        <w:pStyle w:val="null3"/>
      </w:pPr>
      <w:r>
        <w:rPr/>
        <w:t xml:space="preserve"> </w:t>
      </w:r>
    </w:p>
    <w:p>
      <w:pPr>
        <w:pStyle w:val="null3"/>
      </w:pPr>
      <w:r>
        <w:rPr>
          <w:sz w:val="24"/>
          <w:b/>
          <w:color w:val="000000"/>
          <w:shd w:fill="FFFFFF" w:val="clear"/>
        </w:rPr>
        <w:t>合同附件清单：</w:t>
      </w:r>
    </w:p>
    <w:p>
      <w:pPr>
        <w:pStyle w:val="null3"/>
        <w:jc w:val="both"/>
      </w:pPr>
      <w:r>
        <w:rPr>
          <w:sz w:val="24"/>
          <w:b/>
          <w:color w:val="000000"/>
          <w:shd w:fill="FFFFFF" w:val="clear"/>
        </w:rPr>
        <w:t>附件一、《分项报价表》</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440601-2024-02520</w:t>
      </w:r>
    </w:p>
    <w:p>
      <w:pPr>
        <w:pStyle w:val="null3"/>
        <w:jc w:val="center"/>
        <w:outlineLvl w:val="3"/>
      </w:pPr>
      <w:r>
        <w:rPr>
          <w:sz w:val="24"/>
          <w:b/>
        </w:rPr>
        <w:t>采购项目编号：</w:t>
      </w:r>
      <w:r>
        <w:rPr>
          <w:sz w:val="24"/>
          <w:b/>
        </w:rPr>
        <w:t>GDZH-CG-2024009</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广东智鸿工程咨询有限公司</w:t>
      </w:r>
    </w:p>
    <w:p>
      <w:pPr>
        <w:pStyle w:val="null3"/>
        <w:ind w:firstLine="480"/>
      </w:pPr>
      <w:r>
        <w:rPr/>
        <w:t xml:space="preserve"> 你方组织的</w:t>
      </w:r>
      <w:r>
        <w:rPr>
          <w:u w:val="single"/>
        </w:rPr>
        <w:t>“</w:t>
      </w:r>
      <w:r>
        <w:rPr>
          <w:u w:val="single"/>
        </w:rPr>
        <w:t>佛山市教育网站漏洞扫描服务（2024年-2026年）</w:t>
      </w:r>
      <w:r>
        <w:rPr>
          <w:u w:val="single"/>
        </w:rPr>
        <w:t>”</w:t>
      </w:r>
      <w:r>
        <w:rPr/>
        <w:t>项目的竞争性磋商[采购项目编号为：</w:t>
      </w:r>
      <w:r>
        <w:rPr>
          <w:u w:val="single"/>
        </w:rPr>
        <w:t>GDZH-CG-2024009</w:t>
      </w:r>
      <w:r>
        <w:rPr/>
        <w:t>]，我方愿参与响应。</w:t>
      </w:r>
    </w:p>
    <w:p>
      <w:pPr>
        <w:pStyle w:val="null3"/>
        <w:ind w:firstLine="480"/>
      </w:pPr>
      <w:r>
        <w:rPr/>
        <w:t>我方确认收到贵方提供的</w:t>
      </w:r>
      <w:r>
        <w:rPr>
          <w:u w:val="single"/>
        </w:rPr>
        <w:t>“</w:t>
      </w:r>
      <w:r>
        <w:rPr>
          <w:u w:val="single"/>
        </w:rPr>
        <w:t>佛山市教育网站漏洞扫描服务（2024年-2026年）</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广东智鸿工程咨询有限公司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佛山市教育网站漏洞扫描服务（2024年-2026年）</w:t>
      </w:r>
      <w:r>
        <w:rPr/>
        <w:t>”项目采购[采购项目编号为</w:t>
      </w:r>
      <w:r>
        <w:rPr/>
        <w:t>GDZH-CG-2024009</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佛山市教育局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广东智鸿工程咨询有限公司</w:t>
      </w:r>
    </w:p>
    <w:p>
      <w:pPr>
        <w:pStyle w:val="null3"/>
        <w:ind w:firstLine="480"/>
      </w:pPr>
      <w:r>
        <w:rPr/>
        <w:t>我单位参加贵公司组织的</w:t>
      </w:r>
      <w:r>
        <w:rPr/>
        <w:t>佛山市教育网站漏洞扫描服务（2024年-2026年）</w:t>
      </w:r>
      <w:r>
        <w:rPr/>
        <w:t>（采购项目编号：</w:t>
      </w:r>
      <w:r>
        <w:rPr/>
        <w:t>GDZH-CG-2024009</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广东智鸿工程咨询有限公司</w:t>
      </w:r>
    </w:p>
    <w:p>
      <w:pPr>
        <w:pStyle w:val="null3"/>
        <w:ind w:firstLine="480"/>
      </w:pPr>
      <w:r>
        <w:rPr/>
        <w:t>我单位已登记并准备参与“</w:t>
      </w:r>
      <w:r>
        <w:rPr/>
        <w:t>佛山市教育网站漏洞扫描服务（2024年-2026年）</w:t>
      </w:r>
      <w:r>
        <w:rPr/>
        <w:t>”项目（采购项目编号：</w:t>
      </w:r>
      <w:r>
        <w:rPr/>
        <w:t>GDZH-CG-2024009</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lowerLetter"/>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