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440601-2024-03012</w:t>
      </w:r>
    </w:p>
    <w:p>
      <w:pPr>
        <w:pStyle w:val="null3"/>
        <w:jc w:val="center"/>
        <w:outlineLvl w:val="3"/>
      </w:pPr>
      <w:r>
        <w:rPr>
          <w:sz w:val="24"/>
          <w:b/>
        </w:rPr>
        <w:t>采购项目编号：</w:t>
      </w:r>
      <w:r>
        <w:rPr>
          <w:sz w:val="24"/>
          <w:b/>
        </w:rPr>
        <w:t>GDZC-24JC158</w:t>
      </w:r>
    </w:p>
    <w:p>
      <w:pPr>
        <w:pStyle w:val="null3"/>
        <w:jc w:val="center"/>
        <w:outlineLvl w:val="3"/>
      </w:pPr>
      <w:r>
        <w:rPr>
          <w:sz w:val="24"/>
          <w:b/>
        </w:rPr>
        <w:t>项目名称：</w:t>
      </w:r>
      <w:r>
        <w:rPr>
          <w:sz w:val="24"/>
          <w:b/>
        </w:rPr>
        <w:t>佛山市教育局信息化项目安全等级保护测评服务（2024年）项目</w:t>
      </w:r>
    </w:p>
    <w:p>
      <w:pPr>
        <w:pStyle w:val="null3"/>
        <w:jc w:val="center"/>
        <w:outlineLvl w:val="3"/>
      </w:pPr>
      <w:r>
        <w:rPr>
          <w:sz w:val="24"/>
          <w:b/>
        </w:rPr>
        <w:t>采购人：</w:t>
      </w:r>
      <w:r>
        <w:rPr>
          <w:sz w:val="24"/>
          <w:b/>
        </w:rPr>
        <w:t>佛山市教育局</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广东中采招标有限公司</w:t>
      </w:r>
      <w:r>
        <w:rPr/>
        <w:t>受</w:t>
      </w:r>
      <w:r>
        <w:rPr/>
        <w:t>佛山市教育局</w:t>
      </w:r>
      <w:r>
        <w:rPr/>
        <w:t>的委托，采用</w:t>
      </w:r>
      <w:r>
        <w:rPr/>
        <w:t>竞争性磋商</w:t>
      </w:r>
      <w:r>
        <w:rPr/>
        <w:t>方式组织采购</w:t>
      </w:r>
      <w:r>
        <w:rPr/>
        <w:t>佛山市教育局信息化项目安全等级保护测评服务（2024年）项目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佛山市教育局信息化项目安全等级保护测评服务（2024年）项目</w:t>
      </w:r>
    </w:p>
    <w:p>
      <w:pPr>
        <w:pStyle w:val="null3"/>
        <w:ind w:firstLine="480"/>
      </w:pPr>
      <w:r>
        <w:rPr/>
        <w:t>采购计划编号：</w:t>
      </w:r>
      <w:r>
        <w:rPr/>
        <w:t>440601-2024-03012</w:t>
      </w:r>
    </w:p>
    <w:p>
      <w:pPr>
        <w:pStyle w:val="null3"/>
        <w:ind w:firstLine="480"/>
      </w:pPr>
      <w:r>
        <w:rPr/>
        <w:t>采购项目编号：</w:t>
      </w:r>
      <w:r>
        <w:rPr/>
        <w:t>GDZC-24JC158</w:t>
      </w:r>
    </w:p>
    <w:p>
      <w:pPr>
        <w:pStyle w:val="null3"/>
        <w:ind w:firstLine="480"/>
      </w:pPr>
      <w:r>
        <w:rPr/>
        <w:t>采购方式：</w:t>
      </w:r>
      <w:r>
        <w:rPr/>
        <w:t>竞争性磋商</w:t>
      </w:r>
    </w:p>
    <w:p>
      <w:pPr>
        <w:pStyle w:val="null3"/>
        <w:ind w:firstLine="480"/>
      </w:pPr>
      <w:r>
        <w:rPr/>
        <w:t>预算金额：</w:t>
      </w:r>
      <w:r>
        <w:rPr/>
        <w:t>1,135,400.00</w:t>
      </w:r>
      <w:r>
        <w:rPr/>
        <w:t>元</w:t>
      </w:r>
    </w:p>
    <w:p>
      <w:pPr>
        <w:pStyle w:val="null3"/>
        <w:outlineLvl w:val="3"/>
      </w:pPr>
      <w:r>
        <w:rPr>
          <w:sz w:val="24"/>
          <w:b/>
        </w:rPr>
        <w:t>2.项目内容及需求情况（采购项目技术规格、参数及要求）</w:t>
      </w:r>
    </w:p>
    <w:p>
      <w:pPr>
        <w:pStyle w:val="null3"/>
      </w:pPr>
      <w:r>
        <w:rPr/>
        <w:t>采购包1(佛山市教育局信息化项目安全等级保护测评服务（2024年）):</w:t>
      </w:r>
    </w:p>
    <w:p>
      <w:pPr>
        <w:pStyle w:val="null3"/>
      </w:pPr>
      <w:r>
        <w:rPr/>
        <w:t>采购包预算金额：1,135,400.00元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测试评估认证服务</w:t>
            </w:r>
          </w:p>
        </w:tc>
        <w:tc>
          <w:tcPr>
            <w:tcW w:type="dxa" w:w="2052"/>
          </w:tcPr>
          <w:p>
            <w:pPr>
              <w:pStyle w:val="null3"/>
            </w:pPr>
            <w:r>
              <w:rPr/>
              <w:t>19个信息化项目安全等级保护测评服务</w:t>
            </w:r>
          </w:p>
        </w:tc>
        <w:tc>
          <w:tcPr>
            <w:tcW w:type="dxa" w:w="977"/>
          </w:tcPr>
          <w:p>
            <w:pPr>
              <w:pStyle w:val="null3"/>
            </w:pPr>
            <w:r>
              <w:rPr/>
              <w:t>19(个)</w:t>
            </w:r>
          </w:p>
        </w:tc>
        <w:tc>
          <w:tcPr>
            <w:tcW w:type="dxa" w:w="977"/>
          </w:tcPr>
          <w:p>
            <w:pPr>
              <w:pStyle w:val="null3"/>
            </w:pPr>
            <w:r>
              <w:rPr/>
              <w:t>详见第二章</w:t>
            </w:r>
          </w:p>
        </w:tc>
        <w:tc>
          <w:tcPr>
            <w:tcW w:type="dxa" w:w="977"/>
          </w:tcPr>
          <w:p>
            <w:pPr>
              <w:pStyle w:val="null3"/>
            </w:pPr>
            <w:r>
              <w:rPr/>
              <w:t>1,135,400.00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合同履行期限：合同签订之日起至2025年12月31日内完成测评工作，至网络安全等级保护测评服务项目通过验收止。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p>
      <w:pPr>
        <w:pStyle w:val="null3"/>
      </w:pPr>
      <w:r>
        <w:rPr/>
        <w:t>3）具有良好的商业信誉和健全的财务会计制度：须提供下列任一项证明材料：①提供2023年度的财务状况报告，财务状况报告须由第三方会计师事务所出具，并能清晰显示第三方会计师事务所的印章和注册会计师签字盖章，且能反映审计结论；②基本开户银行出具的资信证明（要求：提供投标截止之日前6个月内（含投标截止时间当月）任意一个月出具的资信证明。如资信证明不能体现基本开户账户的，应另附开户许可证（无开户许可证的，可提供由银行开具的《基本存款账户信息》（公户账户主档）或其他相关证明资料）；③提供《政府采购供应商资格信用承诺函》作为证明材料（承诺函格式见公告附件）。</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须提供下列任一项证明材料：①参照响应承诺函相关承诺格式内容；②提供《政府采购供应商资格信用承诺函》作为证明材料（承诺函格式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采购包1（佛山市教育局信息化项目安全等级保护测评服务（2024年））：</w:t>
      </w:r>
      <w:r>
        <w:rPr/>
        <w:t>采购包整体专门面向中小企业采购，监狱企业、残疾人福利性单位视同小型、微型企业。 （1）中小企业评审及《中小企业声明函》填写要求： ① 本项目为服务类项目，投标人须根据本项目采购类别选择对应的《中小企业声明函》填写。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outlineLvl w:val="3"/>
      </w:pPr>
      <w:r>
        <w:rPr>
          <w:sz w:val="24"/>
          <w:b/>
        </w:rPr>
        <w:t>3.本项目特定的资格要求：</w:t>
      </w:r>
    </w:p>
    <w:p>
      <w:pPr>
        <w:pStyle w:val="null3"/>
      </w:pPr>
      <w:r>
        <w:rPr/>
        <w:t>采购包1（佛山市教育局信息化项目安全等级保护测评服务（2024年））：</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 监理、 检测等服务的供应商，不得再参与本项目投标（响应）。响应承诺函相关承诺要求内容。</w:t>
      </w:r>
    </w:p>
    <w:p>
      <w:pPr>
        <w:pStyle w:val="null3"/>
      </w:pPr>
      <w:r>
        <w:rPr/>
        <w:t>3)投标人具有公安部第三研究所颁发的有效期内的《网络安全等级测评与检测评估机构服务认证证书》或《网络安全服务认证证书等级保护测评服务认证》，投标时提交相关证书扫描件。</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广东省公共资源交易平台（佛山市）（https://ygp.gdzwfw.gov.cn/ggzy-portal/#/440600/index）及采购代理机构网站（http://www.gdzczb.com/）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佛山市教育局</w:t>
      </w:r>
    </w:p>
    <w:p>
      <w:pPr>
        <w:pStyle w:val="null3"/>
        <w:ind w:firstLine="480"/>
      </w:pPr>
      <w:r>
        <w:rPr/>
        <w:t>地址：</w:t>
      </w:r>
      <w:r>
        <w:rPr/>
        <w:t>广东省佛山市同济西路9号</w:t>
      </w:r>
    </w:p>
    <w:p>
      <w:pPr>
        <w:pStyle w:val="null3"/>
        <w:ind w:firstLine="480"/>
      </w:pPr>
      <w:r>
        <w:rPr/>
        <w:t>联系方式：</w:t>
      </w:r>
      <w:r>
        <w:rPr/>
        <w:t>0757-83030383</w:t>
      </w:r>
    </w:p>
    <w:p>
      <w:pPr>
        <w:pStyle w:val="null3"/>
        <w:outlineLvl w:val="3"/>
      </w:pPr>
      <w:r>
        <w:rPr>
          <w:sz w:val="24"/>
          <w:b/>
        </w:rPr>
        <w:t>2.采购代理机构信息</w:t>
      </w:r>
    </w:p>
    <w:p>
      <w:pPr>
        <w:pStyle w:val="null3"/>
        <w:ind w:firstLine="480"/>
      </w:pPr>
      <w:r>
        <w:rPr/>
        <w:t>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本项目服务对象为佛山市教育局</w:t>
      </w:r>
      <w:r>
        <w:rPr>
          <w:sz w:val="21"/>
        </w:rPr>
        <w:t>19个信息系统，项目服务须符合国家等级保护2.0相关标准。</w:t>
      </w:r>
    </w:p>
    <w:p>
      <w:pPr>
        <w:pStyle w:val="null3"/>
        <w:ind w:firstLine="420"/>
      </w:pPr>
      <w:r>
        <w:rPr>
          <w:sz w:val="21"/>
        </w:rPr>
        <w:t>19个信息系统分别为1、佛山市教育局内部控制财务档案系统；2、佛山市义务教育民办学校招生信息管理与数据共享平台；3、佛山市幼儿园保教质量监测管理平台；4、佛山市教育设施规划审查信息系统；5、佛山市教师发展中心信息化应用系统；6、佛山市普通高中和初中学业水平考试系统；7、佛山市中考信息管理系统；8、佛山市中考智能阅卷业务系统；9、佛山市中小学校际图书馆信息管理系统；10、佛山市教育装备管理应用与综合分析系统；11、佛山市初中实验操作考试信息管理系统；12、</w:t>
      </w:r>
      <w:r>
        <w:rPr>
          <w:sz w:val="21"/>
        </w:rPr>
        <w:t>佛山市中小学作业管理系统</w:t>
      </w:r>
      <w:r>
        <w:rPr>
          <w:sz w:val="21"/>
        </w:rPr>
        <w:t>；</w:t>
      </w:r>
      <w:r>
        <w:rPr>
          <w:sz w:val="21"/>
        </w:rPr>
        <w:t>13</w:t>
      </w:r>
      <w:r>
        <w:rPr>
          <w:sz w:val="21"/>
        </w:rPr>
        <w:t>、佛山市智慧云教研一体化服务平台；</w:t>
      </w:r>
      <w:r>
        <w:rPr>
          <w:sz w:val="21"/>
        </w:rPr>
        <w:t>14</w:t>
      </w:r>
      <w:r>
        <w:rPr>
          <w:sz w:val="21"/>
        </w:rPr>
        <w:t>、佛山市名师微课支撑管理平台；</w:t>
      </w:r>
      <w:r>
        <w:rPr>
          <w:sz w:val="21"/>
        </w:rPr>
        <w:t>15</w:t>
      </w:r>
      <w:r>
        <w:rPr>
          <w:sz w:val="21"/>
        </w:rPr>
        <w:t>、佛山市中小学人工智能素养成长平台；</w:t>
      </w:r>
      <w:r>
        <w:rPr>
          <w:sz w:val="21"/>
        </w:rPr>
        <w:t>16</w:t>
      </w:r>
      <w:r>
        <w:rPr>
          <w:sz w:val="21"/>
        </w:rPr>
        <w:t>、基于信</w:t>
      </w:r>
      <w:r>
        <w:rPr>
          <w:sz w:val="21"/>
        </w:rPr>
        <w:t>-</w:t>
      </w:r>
      <w:r>
        <w:rPr>
          <w:sz w:val="21"/>
        </w:rPr>
        <w:t>创体系的信息化应用课题智控平台（佛山市师生科研能力成长之家）；</w:t>
      </w:r>
      <w:r>
        <w:rPr>
          <w:sz w:val="21"/>
        </w:rPr>
        <w:t>17</w:t>
      </w:r>
      <w:r>
        <w:rPr>
          <w:sz w:val="21"/>
        </w:rPr>
        <w:t>、佛山市教育数据银行管理系统；</w:t>
      </w:r>
      <w:r>
        <w:rPr>
          <w:sz w:val="21"/>
        </w:rPr>
        <w:t>18</w:t>
      </w:r>
      <w:r>
        <w:rPr>
          <w:sz w:val="21"/>
        </w:rPr>
        <w:t>、佛山市教育资源公共服务平台；</w:t>
      </w:r>
      <w:r>
        <w:rPr>
          <w:sz w:val="21"/>
        </w:rPr>
        <w:t>19</w:t>
      </w:r>
      <w:r>
        <w:rPr>
          <w:sz w:val="21"/>
        </w:rPr>
        <w:t>、广东高校科技成果转化线上服务平台</w:t>
      </w:r>
    </w:p>
    <w:p>
      <w:pPr>
        <w:pStyle w:val="null3"/>
      </w:pPr>
      <w:r>
        <w:rPr/>
        <w:t>采购包1（佛山市教育局信息化项目安全等级保护测评服务（2024年））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★合同签订之日起至2025年12月31日内完成测评工作，至网络安全等级保护测评服务项目通过验收止。</w:t>
            </w:r>
          </w:p>
        </w:tc>
      </w:tr>
      <w:tr>
        <w:tc>
          <w:tcPr>
            <w:tcW w:type="dxa" w:w="4153"/>
          </w:tcPr>
          <w:p>
            <w:pPr>
              <w:pStyle w:val="null3"/>
            </w:pPr>
            <w:r>
              <w:rPr/>
              <w:t>标的提供的地点</w:t>
            </w:r>
          </w:p>
        </w:tc>
        <w:tc>
          <w:tcPr>
            <w:tcW w:type="dxa" w:w="4153"/>
          </w:tcPr>
          <w:p>
            <w:pPr>
              <w:pStyle w:val="null3"/>
            </w:pPr>
            <w:r>
              <w:rPr/>
              <w:t>★佛山市内</w:t>
            </w:r>
          </w:p>
        </w:tc>
      </w:tr>
      <w:tr>
        <w:tc>
          <w:tcPr>
            <w:tcW w:type="dxa" w:w="4153"/>
          </w:tcPr>
          <w:p>
            <w:pPr>
              <w:pStyle w:val="null3"/>
            </w:pPr>
            <w:r>
              <w:rPr/>
              <w:t>付款方式</w:t>
            </w:r>
          </w:p>
        </w:tc>
        <w:tc>
          <w:tcPr>
            <w:tcW w:type="dxa" w:w="4153"/>
          </w:tcPr>
          <w:p>
            <w:pPr>
              <w:pStyle w:val="null3"/>
            </w:pPr>
            <w:r>
              <w:rPr/>
              <w:t>1期：支付比例50%,合同签订并生效，成交供应商提供有效发票后，采购人在10个工作日内支付合同总金额的50%。</w:t>
            </w:r>
          </w:p>
          <w:p>
            <w:pPr>
              <w:pStyle w:val="null3"/>
            </w:pPr>
            <w:r>
              <w:rPr/>
              <w:t>2期：支付比例50%,成交供应商按合同服务内容完成服务，并经采购人书面确认通过阶段验收后，采购人在收齐支付必要的资料（包括但不限于正规发票和采购人认可的各项记录文件）之日起10个工作日内向成交供应商支付合同总金额的50%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1、履约验收主体：采购人、成交供应商。 2、履约验收时间：采购人在收到成交供应商项目验收建议之日起7个工作日内按本单位的项目验收相关工作要求和流程组织验收。 3、履约验收方式：按磋商文件、响应文件、合同文件标准进行验收。 4、履约验收内容：对应成交供应商的响应文件的技术和商务、人员要求等，结合采购人招标文件要求的标准为准则。 5、履约验收程序、验收标准：项目所有工作内容完成以后，由成交供应商提交验收申请，由采购人组织验收小组，负责对项目进行全面验收，项目验收依次序对照执行标准为：①符合中华人民共和国国家和履约地相关安全质量标准、行业技术规范标准；②符合采购文件和投标承诺中各方共同认可的各项要求；③双方约定的其他验收标准。项目完成后成交供应商向采购人提供项目期间的各种文档，成交供应商需为验收提供必需的设备、工具及其他便利条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补充，1、成交供应商凭以下有效文件与采购人结算：（1）合同；（2）成交供应商开具的正式发票；（3）付款申请书；（4）中标通知书。2、收款方、出具发票方、合同成交供应商必须与成交供应商名称一致。</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响应总价指供应商为完成本项目所收取的全部费用，包含但不限于所有工作人员的工勤费用（包括工资、福利、交通、食宿、通讯、常驻现场的费用等），服务期内资料收集和整理更新、软件更新升级、技术支撑、协调统筹服务、运营维护等所产生的其他费用、全额含税发票、合同实施验收过程中的应预见和不可预见费用等。成交供应商不能再以任何理由向采购人索取其他费用或利益。</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人员管理</w:t>
            </w:r>
          </w:p>
        </w:tc>
        <w:tc>
          <w:tcPr>
            <w:tcW w:type="dxa" w:w="2076"/>
          </w:tcPr>
          <w:p>
            <w:pPr>
              <w:pStyle w:val="null3"/>
              <w:jc w:val="left"/>
            </w:pPr>
            <w:r>
              <w:rPr/>
              <w:t>1、成交供应商须按其响应文件中承诺提供的项目组人员必须按要求投入到本项目中，在合同期内不得擅自更换。成交供应商如因工作安排或其他原因，需要更换项目组人员时，应事前向采购人书面提出书面申请，未经采购人同意，不得更换人员。 2、如成交供应商未经采购人书面同意擅自更换项目组人员，除须按采购人的要求对人员作出调整外，累计达3次后，采购人有权终止合同，由此引致的经济损失，成交供应商须全额赔偿，采购人保留追究成交供应商相关责任的权利。 3、采购人有权以书面形式要求成交供应商更换不能按规定履行合同的人员。 4、即使是采购人要求或同意更换的人员，其代替人员的资质仍应得到采购人的认可，且其资历和经验均不低于被更换人员。由此而产生的费用由成交供应商承担。 5、成交供应商对其投入的服务人员的人身安全负全部责任。</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知识产权要求</w:t>
            </w:r>
          </w:p>
        </w:tc>
        <w:tc>
          <w:tcPr>
            <w:tcW w:type="dxa" w:w="2076"/>
          </w:tcPr>
          <w:p>
            <w:pPr>
              <w:pStyle w:val="null3"/>
              <w:jc w:val="left"/>
            </w:pPr>
            <w:r>
              <w:rPr/>
              <w:t>本项目实施中所产生的所有工作成果（包括但不限于发明、发现及相关技术资料、文档等）的知识产权归佛山市教育局所有。成交供应商保证所提供的服务没有侵害任何第三方的知识产权或其他正当权益。如有第三方指控成交供应商提供给采购人的服务侵犯了该方的知识产权或其他权利，成交供应商应自费就上述指控为采购人辩护或进行妥善处理，并承担给采购人及第三方造成的一切损失（包括但不限于赔偿金、律师费等）。如成交供应商不为采购人辩护或不进行妥善处理，采购人可自行处理，采购人与第三方达成的和解协议或法院生效判决由采购人承担的责任，及采购人自行处理所支出的费用（包括但不限于律师费、案件受理费、执行费、差旅费等）由成交供应商承担。</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保密要求</w:t>
            </w:r>
          </w:p>
        </w:tc>
        <w:tc>
          <w:tcPr>
            <w:tcW w:type="dxa" w:w="2076"/>
          </w:tcPr>
          <w:p>
            <w:pPr>
              <w:pStyle w:val="null3"/>
              <w:jc w:val="left"/>
            </w:pPr>
            <w:r>
              <w:rPr/>
              <w:t>1、在服务期间，成交供应商派驻服务团队须严格遵守采购人制定的各项规章制度、管理流程以及操作规范。如有违反，将追究服务商责任。 2、不论何时（服务期间或服务期结束后），成交供应商须对安全服务过程中接触的采购人所有信息和数据保密。未经允许不得以任何方式向外界传递或泄露采购人的任何信息或数据，一旦发现，将追究成交供应商法律责任。 3、对采购人的全部资产（包括全部设备、线路、软件、配套设施、系统产生的各类数据信息及相关文档资料等），成交供应商不得以任何方式对其进行出售、抵押或转移；且在服务期间，成交供应商有责任保证上述资产的完整、安全并处于良好状态，因成交供应商责任而导致的设备损坏或资产损失，由成交供应商承担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测试评估认证服务</w:t>
            </w:r>
          </w:p>
        </w:tc>
        <w:tc>
          <w:tcPr>
            <w:tcW w:type="dxa" w:w="933"/>
          </w:tcPr>
          <w:p>
            <w:pPr>
              <w:pStyle w:val="null3"/>
              <w:jc w:val="left"/>
            </w:pPr>
            <w:r>
              <w:rPr/>
              <w:t>19个信息化项目安全等级保护测评服务</w:t>
            </w:r>
          </w:p>
        </w:tc>
        <w:tc>
          <w:tcPr>
            <w:tcW w:type="dxa" w:w="933"/>
          </w:tcPr>
          <w:p>
            <w:pPr>
              <w:pStyle w:val="null3"/>
              <w:jc w:val="left"/>
            </w:pPr>
            <w:r>
              <w:rPr/>
              <w:t>个</w:t>
            </w:r>
          </w:p>
        </w:tc>
        <w:tc>
          <w:tcPr>
            <w:tcW w:type="dxa" w:w="933"/>
          </w:tcPr>
          <w:p>
            <w:pPr>
              <w:pStyle w:val="null3"/>
              <w:jc w:val="right"/>
            </w:pPr>
            <w:r>
              <w:rPr/>
              <w:t>19.00</w:t>
            </w:r>
          </w:p>
        </w:tc>
        <w:tc>
          <w:tcPr>
            <w:tcW w:type="dxa" w:w="933"/>
          </w:tcPr>
          <w:p>
            <w:pPr>
              <w:pStyle w:val="null3"/>
              <w:jc w:val="right"/>
            </w:pPr>
            <w:r>
              <w:rPr/>
              <w:t>59,757.89</w:t>
            </w:r>
          </w:p>
        </w:tc>
        <w:tc>
          <w:tcPr>
            <w:tcW w:type="dxa" w:w="933"/>
          </w:tcPr>
          <w:p>
            <w:pPr>
              <w:pStyle w:val="null3"/>
              <w:jc w:val="right"/>
            </w:pPr>
            <w:r>
              <w:rPr/>
              <w:t>1,135,400.00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19个信息化项目安全等级保护测评服务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上线前安全测评（以下文件规定如有最新，按最新的执行）：</w:t>
            </w:r>
          </w:p>
          <w:p>
            <w:pPr>
              <w:pStyle w:val="null3"/>
              <w:jc w:val="both"/>
            </w:pPr>
            <w:r>
              <w:rPr>
                <w:sz w:val="21"/>
              </w:rPr>
              <w:t>依据《中华人民共和国网络安全法》、《关于加强党政机关网站安全管理的通知》（中网办发文〔</w:t>
            </w:r>
            <w:r>
              <w:rPr>
                <w:sz w:val="21"/>
              </w:rPr>
              <w:t>2014</w:t>
            </w:r>
            <w:r>
              <w:rPr>
                <w:sz w:val="21"/>
              </w:rPr>
              <w:t>〕</w:t>
            </w:r>
            <w:r>
              <w:rPr>
                <w:sz w:val="21"/>
              </w:rPr>
              <w:t>1</w:t>
            </w:r>
            <w:r>
              <w:rPr>
                <w:sz w:val="21"/>
              </w:rPr>
              <w:t>号）、《信息安全技术—网络安全等级保护基本要求》（</w:t>
            </w:r>
            <w:r>
              <w:rPr>
                <w:sz w:val="21"/>
              </w:rPr>
              <w:t>GB/T 22239-2019</w:t>
            </w:r>
            <w:r>
              <w:rPr>
                <w:sz w:val="21"/>
              </w:rPr>
              <w:t>）、《信息安全技术—网络安全等级保护测评要求》（</w:t>
            </w:r>
            <w:r>
              <w:rPr>
                <w:sz w:val="21"/>
              </w:rPr>
              <w:t>GB/T 28448-2019</w:t>
            </w:r>
            <w:r>
              <w:rPr>
                <w:sz w:val="21"/>
              </w:rPr>
              <w:t>）等标准和有关规定及要求，对采购人新上线的信息系统进行网络安全等级测评，评估其安全状况，提出合规性整改建议，提供评估报告。</w:t>
            </w:r>
          </w:p>
        </w:tc>
      </w:tr>
      <w:tr>
        <w:tc>
          <w:tcPr>
            <w:tcW w:type="dxa" w:w="2076"/>
          </w:tcPr>
          <w:p/>
        </w:tc>
        <w:tc>
          <w:tcPr>
            <w:tcW w:type="dxa" w:w="415"/>
          </w:tcPr>
          <w:p>
            <w:pPr>
              <w:pStyle w:val="null3"/>
            </w:pPr>
            <w:r>
              <w:rPr/>
              <w:t>2</w:t>
            </w:r>
          </w:p>
        </w:tc>
        <w:tc>
          <w:tcPr>
            <w:tcW w:type="dxa" w:w="5814"/>
          </w:tcPr>
          <w:p>
            <w:pPr>
              <w:pStyle w:val="null3"/>
              <w:jc w:val="both"/>
            </w:pPr>
            <w:r>
              <w:rPr>
                <w:sz w:val="21"/>
                <w:b/>
              </w:rPr>
              <w:t>等保测评</w:t>
            </w:r>
          </w:p>
          <w:p>
            <w:pPr>
              <w:pStyle w:val="null3"/>
              <w:jc w:val="both"/>
            </w:pPr>
            <w:r>
              <w:rPr>
                <w:sz w:val="21"/>
              </w:rPr>
              <w:t>1、</w:t>
            </w:r>
            <w:r>
              <w:rPr>
                <w:sz w:val="21"/>
              </w:rPr>
              <w:t>协助开展信息系统的定级备案工作，编写系统定级备案材料，获取公安部门颁发的备案证书；</w:t>
            </w:r>
          </w:p>
          <w:p>
            <w:pPr>
              <w:pStyle w:val="null3"/>
              <w:jc w:val="both"/>
            </w:pPr>
            <w:r>
              <w:rPr>
                <w:sz w:val="21"/>
              </w:rPr>
              <w:t>2、</w:t>
            </w:r>
            <w:r>
              <w:rPr>
                <w:sz w:val="21"/>
              </w:rPr>
              <w:t>针对服务对象开展安全漏洞检测和差距测评，根据差距测评结果，给出针对性的整改建议；</w:t>
            </w:r>
          </w:p>
          <w:p>
            <w:pPr>
              <w:pStyle w:val="null3"/>
              <w:jc w:val="both"/>
            </w:pPr>
            <w:r>
              <w:rPr>
                <w:sz w:val="21"/>
              </w:rPr>
              <w:t>3、</w:t>
            </w:r>
            <w:r>
              <w:rPr>
                <w:sz w:val="21"/>
              </w:rPr>
              <w:t>针对采购人受测信息系统的安全整改提供技术支持咨询工作；</w:t>
            </w:r>
          </w:p>
          <w:p>
            <w:pPr>
              <w:pStyle w:val="null3"/>
              <w:jc w:val="both"/>
            </w:pPr>
            <w:r>
              <w:rPr>
                <w:sz w:val="21"/>
              </w:rPr>
              <w:t>4、</w:t>
            </w:r>
            <w:r>
              <w:rPr>
                <w:sz w:val="21"/>
              </w:rPr>
              <w:t>开展信息系统验收测评工作，出具《网络安全等级测评报告》；</w:t>
            </w:r>
          </w:p>
          <w:p>
            <w:pPr>
              <w:pStyle w:val="null3"/>
              <w:jc w:val="both"/>
            </w:pPr>
            <w:r>
              <w:rPr>
                <w:sz w:val="21"/>
              </w:rPr>
              <w:t>5、</w:t>
            </w:r>
            <w:r>
              <w:rPr>
                <w:sz w:val="21"/>
              </w:rPr>
              <w:t>负责提交《网络安全等级测评报告》至公安部门审核，取得报告接收回执；</w:t>
            </w:r>
          </w:p>
          <w:p>
            <w:pPr>
              <w:pStyle w:val="null3"/>
              <w:jc w:val="both"/>
            </w:pPr>
            <w:r>
              <w:rPr>
                <w:sz w:val="21"/>
              </w:rPr>
              <w:t>6、</w:t>
            </w:r>
            <w:r>
              <w:rPr>
                <w:sz w:val="21"/>
              </w:rPr>
              <w:t>协助组织召开网络安全等级保护定级评审会，协助定级评审专家邀请和专家评审费用及评审会议所有费用支出。</w:t>
            </w:r>
          </w:p>
          <w:p>
            <w:pPr>
              <w:pStyle w:val="null3"/>
              <w:jc w:val="both"/>
            </w:pPr>
            <w:r>
              <w:rPr>
                <w:sz w:val="21"/>
              </w:rPr>
              <w:t>7、</w:t>
            </w:r>
            <w:r>
              <w:rPr>
                <w:sz w:val="21"/>
              </w:rPr>
              <w:t>项目实施期间，指派</w:t>
            </w:r>
            <w:r>
              <w:rPr>
                <w:sz w:val="21"/>
              </w:rPr>
              <w:t>1名工程师提供现场服务，实施过程中接受采购人安排管理，入场前签署保密协议，按采购人要求时间开展工作，工程师现场做好项目的跟进、协调、整改咨询、进度汇报等事宜，且每周提供项目工作周报。</w:t>
            </w:r>
          </w:p>
          <w:p>
            <w:pPr>
              <w:pStyle w:val="null3"/>
              <w:jc w:val="both"/>
            </w:pPr>
            <w:r>
              <w:rPr>
                <w:sz w:val="21"/>
              </w:rPr>
              <w:t>8、</w:t>
            </w:r>
            <w:r>
              <w:rPr>
                <w:sz w:val="21"/>
              </w:rPr>
              <w:t>协助做好信息系统备案工作，如有变更，协助相关备案变更手续办理。</w:t>
            </w:r>
          </w:p>
          <w:p>
            <w:pPr>
              <w:pStyle w:val="null3"/>
              <w:jc w:val="both"/>
            </w:pPr>
          </w:p>
        </w:tc>
      </w:tr>
      <w:tr>
        <w:tc>
          <w:tcPr>
            <w:tcW w:type="dxa" w:w="2076"/>
          </w:tcPr>
          <w:p/>
        </w:tc>
        <w:tc>
          <w:tcPr>
            <w:tcW w:type="dxa" w:w="415"/>
          </w:tcPr>
          <w:p>
            <w:pPr>
              <w:pStyle w:val="null3"/>
            </w:pPr>
            <w:r>
              <w:rPr/>
              <w:t>3</w:t>
            </w:r>
          </w:p>
        </w:tc>
        <w:tc>
          <w:tcPr>
            <w:tcW w:type="dxa" w:w="5814"/>
          </w:tcPr>
          <w:p>
            <w:pPr>
              <w:pStyle w:val="null3"/>
              <w:jc w:val="both"/>
            </w:pPr>
            <w:r>
              <w:rPr>
                <w:sz w:val="21"/>
                <w:b/>
              </w:rPr>
              <w:t>培训服务</w:t>
            </w:r>
          </w:p>
          <w:p>
            <w:pPr>
              <w:pStyle w:val="null3"/>
              <w:jc w:val="both"/>
            </w:pPr>
            <w:r>
              <w:rPr>
                <w:sz w:val="21"/>
              </w:rPr>
              <w:t>成交供应商需针对每个被测评的信息系统，为该系统的使用责任人提供</w:t>
            </w:r>
            <w:r>
              <w:rPr>
                <w:sz w:val="21"/>
              </w:rPr>
              <w:t>1</w:t>
            </w:r>
            <w:r>
              <w:rPr>
                <w:sz w:val="21"/>
              </w:rPr>
              <w:t>次线下培训，在培训过程中专业讲解对应的信息化系统在测评时发现的问题情况及提供整改和解决思路、措施和策略。</w:t>
            </w:r>
          </w:p>
        </w:tc>
      </w:tr>
      <w:tr>
        <w:tc>
          <w:tcPr>
            <w:tcW w:type="dxa" w:w="2076"/>
          </w:tcPr>
          <w:p/>
        </w:tc>
        <w:tc>
          <w:tcPr>
            <w:tcW w:type="dxa" w:w="415"/>
          </w:tcPr>
          <w:p>
            <w:pPr>
              <w:pStyle w:val="null3"/>
            </w:pPr>
            <w:r>
              <w:rPr/>
              <w:t>4</w:t>
            </w:r>
          </w:p>
        </w:tc>
        <w:tc>
          <w:tcPr>
            <w:tcW w:type="dxa" w:w="5814"/>
          </w:tcPr>
          <w:p>
            <w:pPr>
              <w:pStyle w:val="null3"/>
              <w:jc w:val="both"/>
            </w:pPr>
            <w:r>
              <w:rPr>
                <w:sz w:val="21"/>
                <w:b/>
              </w:rPr>
              <w:t>过程服务</w:t>
            </w:r>
          </w:p>
          <w:p>
            <w:pPr>
              <w:pStyle w:val="null3"/>
              <w:jc w:val="both"/>
            </w:pPr>
            <w:r>
              <w:rPr>
                <w:sz w:val="21"/>
              </w:rPr>
              <w:t>成交供应商在采购人等保整改过程中，需提供免费咨询、顾问指导服务，以协助采购人在规定时间内完成等保整改。如采购人有需要，成交供应商需提供整改咨询会议。</w:t>
            </w:r>
          </w:p>
        </w:tc>
      </w:tr>
      <w:tr>
        <w:tc>
          <w:tcPr>
            <w:tcW w:type="dxa" w:w="2076"/>
          </w:tcPr>
          <w:p/>
        </w:tc>
        <w:tc>
          <w:tcPr>
            <w:tcW w:type="dxa" w:w="415"/>
          </w:tcPr>
          <w:p>
            <w:pPr>
              <w:pStyle w:val="null3"/>
            </w:pPr>
            <w:r>
              <w:rPr/>
              <w:t>5</w:t>
            </w:r>
          </w:p>
        </w:tc>
        <w:tc>
          <w:tcPr>
            <w:tcW w:type="dxa" w:w="5814"/>
          </w:tcPr>
          <w:p>
            <w:pPr>
              <w:pStyle w:val="null3"/>
              <w:jc w:val="both"/>
            </w:pPr>
            <w:r>
              <w:rPr>
                <w:sz w:val="21"/>
                <w:b/>
              </w:rPr>
              <w:t>项目实施依据</w:t>
            </w:r>
          </w:p>
          <w:p>
            <w:pPr>
              <w:pStyle w:val="null3"/>
              <w:jc w:val="both"/>
            </w:pPr>
            <w:r>
              <w:rPr>
                <w:sz w:val="21"/>
              </w:rPr>
              <w:t>供应商应依据国家相关政策标准开展工作，依据标准包括但不限于如下国家法律法规及政策标准：</w:t>
            </w:r>
          </w:p>
          <w:p>
            <w:pPr>
              <w:pStyle w:val="null3"/>
              <w:jc w:val="both"/>
            </w:pPr>
            <w:r>
              <w:rPr>
                <w:sz w:val="21"/>
              </w:rPr>
              <w:t>1、《中华人民共和国网络安全法》</w:t>
            </w:r>
          </w:p>
          <w:p>
            <w:pPr>
              <w:pStyle w:val="null3"/>
              <w:jc w:val="both"/>
            </w:pPr>
            <w:r>
              <w:rPr>
                <w:sz w:val="21"/>
              </w:rPr>
              <w:t>2、《中华人民共和国计算机信息系统安全保护条例》(国务院 147 号令)</w:t>
            </w:r>
          </w:p>
          <w:p>
            <w:pPr>
              <w:pStyle w:val="null3"/>
              <w:jc w:val="both"/>
            </w:pPr>
            <w:r>
              <w:rPr>
                <w:sz w:val="21"/>
              </w:rPr>
              <w:t>3、《信息安全等级保护管理办法》</w:t>
            </w:r>
          </w:p>
          <w:p>
            <w:pPr>
              <w:pStyle w:val="null3"/>
              <w:jc w:val="both"/>
            </w:pPr>
            <w:r>
              <w:rPr>
                <w:sz w:val="21"/>
              </w:rPr>
              <w:t>4、《信息安全技术-网络安全等级保护基本要求》（GB/T22239-2019）</w:t>
            </w:r>
          </w:p>
          <w:p>
            <w:pPr>
              <w:pStyle w:val="null3"/>
              <w:jc w:val="both"/>
            </w:pPr>
            <w:r>
              <w:rPr>
                <w:sz w:val="21"/>
              </w:rPr>
              <w:t>5、《信息安全技术-网络安全等级保护测评要求》（GB/T 28448-2019）</w:t>
            </w:r>
          </w:p>
          <w:p>
            <w:pPr>
              <w:pStyle w:val="null3"/>
              <w:jc w:val="both"/>
            </w:pPr>
            <w:r>
              <w:rPr>
                <w:sz w:val="21"/>
              </w:rPr>
              <w:t>6、《信息安全技术-网络安全等级保护定级指南》(GB/T 22240-2020)</w:t>
            </w:r>
          </w:p>
        </w:tc>
      </w:tr>
      <w:tr>
        <w:tc>
          <w:tcPr>
            <w:tcW w:type="dxa" w:w="2076"/>
          </w:tcPr>
          <w:p/>
        </w:tc>
        <w:tc>
          <w:tcPr>
            <w:tcW w:type="dxa" w:w="415"/>
          </w:tcPr>
          <w:p>
            <w:pPr>
              <w:pStyle w:val="null3"/>
            </w:pPr>
            <w:r>
              <w:rPr/>
              <w:t>6</w:t>
            </w:r>
          </w:p>
        </w:tc>
        <w:tc>
          <w:tcPr>
            <w:tcW w:type="dxa" w:w="5814"/>
          </w:tcPr>
          <w:p>
            <w:pPr>
              <w:pStyle w:val="null3"/>
              <w:jc w:val="both"/>
            </w:pPr>
            <w:r>
              <w:rPr>
                <w:sz w:val="21"/>
                <w:b/>
              </w:rPr>
              <w:t>其他要求</w:t>
            </w:r>
          </w:p>
          <w:p>
            <w:pPr>
              <w:pStyle w:val="null3"/>
              <w:jc w:val="both"/>
            </w:pPr>
            <w:r>
              <w:rPr>
                <w:sz w:val="21"/>
              </w:rPr>
              <w:t>1、</w:t>
            </w:r>
            <w:r>
              <w:rPr>
                <w:sz w:val="21"/>
              </w:rPr>
              <w:t>整体方案（包括项目目标、项目组织与实施）；</w:t>
            </w:r>
          </w:p>
          <w:p>
            <w:pPr>
              <w:pStyle w:val="null3"/>
              <w:jc w:val="both"/>
            </w:pPr>
            <w:r>
              <w:rPr>
                <w:sz w:val="21"/>
              </w:rPr>
              <w:t>2、</w:t>
            </w:r>
            <w:r>
              <w:rPr>
                <w:sz w:val="21"/>
              </w:rPr>
              <w:t>测评方案（包括测评需求、重点难点、等级保护测评流程、</w:t>
            </w:r>
            <w:r>
              <w:rPr>
                <w:sz w:val="21"/>
              </w:rPr>
              <w:t>工作内容和方法、服务提供方式、项目成果、安全保密及成果交付要求）；</w:t>
            </w:r>
          </w:p>
          <w:p>
            <w:pPr>
              <w:pStyle w:val="null3"/>
              <w:jc w:val="both"/>
            </w:pPr>
            <w:r>
              <w:rPr>
                <w:sz w:val="21"/>
              </w:rPr>
              <w:t>3、</w:t>
            </w:r>
            <w:r>
              <w:rPr>
                <w:sz w:val="21"/>
              </w:rPr>
              <w:t>进度计划（包括定级备案进度计划、协助自查进度计划、协助整改的进度计划、等保测评实施进度计划）；</w:t>
            </w:r>
          </w:p>
          <w:p>
            <w:pPr>
              <w:pStyle w:val="null3"/>
              <w:jc w:val="both"/>
            </w:pPr>
            <w:r>
              <w:rPr>
                <w:sz w:val="21"/>
              </w:rPr>
              <w:t>4、服务质量保证方案（包括质量控制管理、变更控制管理、质量保证措施、保密控制管理）；</w:t>
            </w:r>
          </w:p>
          <w:p>
            <w:pPr>
              <w:pStyle w:val="null3"/>
              <w:jc w:val="both"/>
            </w:pPr>
            <w:r>
              <w:rPr>
                <w:sz w:val="21"/>
              </w:rPr>
              <w:t>5、应急处置方案（包括要求各种突发事件的响应时间、应急流程及措施合理规范、应急管理制度完善、应急人员配备齐全等）</w:t>
            </w:r>
          </w:p>
        </w:tc>
      </w:tr>
      <w:tr>
        <w:tc>
          <w:tcPr>
            <w:tcW w:type="dxa" w:w="2076"/>
          </w:tcPr>
          <w:p/>
        </w:tc>
        <w:tc>
          <w:tcPr>
            <w:tcW w:type="dxa" w:w="415"/>
          </w:tcPr>
          <w:p>
            <w:pPr>
              <w:pStyle w:val="null3"/>
            </w:pPr>
            <w:r>
              <w:rPr/>
              <w:t>7</w:t>
            </w:r>
          </w:p>
        </w:tc>
        <w:tc>
          <w:tcPr>
            <w:tcW w:type="dxa" w:w="5814"/>
          </w:tcPr>
          <w:p>
            <w:pPr>
              <w:pStyle w:val="null3"/>
              <w:jc w:val="both"/>
            </w:pPr>
            <w:r>
              <w:rPr>
                <w:sz w:val="21"/>
              </w:rPr>
              <w:t>工具测试要求</w:t>
            </w:r>
          </w:p>
        </w:tc>
      </w:tr>
      <w:tr>
        <w:tc>
          <w:tcPr>
            <w:tcW w:type="dxa" w:w="2076"/>
          </w:tcPr>
          <w:p/>
        </w:tc>
        <w:tc>
          <w:tcPr>
            <w:tcW w:type="dxa" w:w="415"/>
          </w:tcPr>
          <w:p>
            <w:pPr>
              <w:pStyle w:val="null3"/>
            </w:pPr>
            <w:r>
              <w:rPr/>
              <w:t>8</w:t>
            </w:r>
          </w:p>
        </w:tc>
        <w:tc>
          <w:tcPr>
            <w:tcW w:type="dxa" w:w="5814"/>
          </w:tcPr>
          <w:p>
            <w:pPr>
              <w:pStyle w:val="null3"/>
              <w:jc w:val="both"/>
            </w:pPr>
            <w:r>
              <w:rPr>
                <w:sz w:val="21"/>
              </w:rPr>
              <w:t>本项目在实施过程中所使用到的专业服务工具必须包含等级保护检查工具、网络边界完整性检查管理系统、网络安全事件调查处置工具箱系统、内网安全管理系统、</w:t>
            </w:r>
            <w:r>
              <w:rPr>
                <w:sz w:val="21"/>
              </w:rPr>
              <w:t>等级保护合规检查工具箱</w:t>
            </w:r>
            <w:r>
              <w:rPr>
                <w:sz w:val="21"/>
              </w:rPr>
              <w:t>等。</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本项目在实施过程中所使用到的专业安全测评项目管理工具，信息安全等级保护综合管理系统，该系统须通过公安相关部门的检测</w:t>
            </w:r>
            <w:r>
              <w:rPr>
                <w:sz w:val="21"/>
                <w:b/>
              </w:rPr>
              <w:t>（响应时提供检测报告扫描件作为证明材料）</w:t>
            </w:r>
            <w:r>
              <w:rPr>
                <w:sz w:val="21"/>
              </w:rPr>
              <w:t>。</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必须保证所使用的所有工具和软件不会产生所有权和知识产权纠纷，并保证工具和软件的可用性和可靠性，由此产生的一切责任由供应商承担。根据成交供应商对服务工具能力要求的响应进行评审</w:t>
            </w:r>
            <w:r>
              <w:rPr>
                <w:sz w:val="21"/>
              </w:rPr>
              <w:t>(如发现供应商出现虚假承诺，采购人可要求供应商对所提供的所有服务工具进行功能及性能演示验证，如情况属实的，采购人有权保留追究成交供应商的法律责任的权利，相应的违约处罚责任由成交供应商承担，并赔偿采购人由此所造成的一切经济损失)</w:t>
            </w:r>
            <w:r>
              <w:rPr>
                <w:sz w:val="21"/>
                <w:b/>
              </w:rPr>
              <w:t>(响应时提供《承诺函》，格式自拟)</w:t>
            </w:r>
            <w:r>
              <w:rPr>
                <w:sz w:val="21"/>
              </w:rPr>
              <w:t>。</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rPr>
              <w:t>本项目使用的所有服务工具和软件（包括但不限于以下等级保护检查工具、网络边界完整性检查工具、网络安全事件调查处置系统、内网安全管理系统、</w:t>
            </w:r>
            <w:r>
              <w:rPr>
                <w:sz w:val="21"/>
              </w:rPr>
              <w:t>等级保护合规检查工具箱</w:t>
            </w:r>
            <w:r>
              <w:rPr>
                <w:sz w:val="21"/>
              </w:rPr>
              <w:t>）无需采购人购买，均由成交供应商自行提供。</w:t>
            </w:r>
            <w:r>
              <w:rPr>
                <w:sz w:val="21"/>
                <w:b/>
              </w:rPr>
              <w:t>(响应时提供《承诺函》，格式自拟)</w:t>
            </w:r>
            <w:r>
              <w:rPr>
                <w:sz w:val="21"/>
              </w:rPr>
              <w:t>。</w:t>
            </w:r>
          </w:p>
        </w:tc>
      </w:tr>
      <w:tr>
        <w:tc>
          <w:tcPr>
            <w:tcW w:type="dxa" w:w="2076"/>
          </w:tcPr>
          <w:p/>
        </w:tc>
        <w:tc>
          <w:tcPr>
            <w:tcW w:type="dxa" w:w="415"/>
          </w:tcPr>
          <w:p>
            <w:pPr>
              <w:pStyle w:val="null3"/>
            </w:pPr>
            <w:r>
              <w:rPr/>
              <w:t>12</w:t>
            </w:r>
          </w:p>
        </w:tc>
        <w:tc>
          <w:tcPr>
            <w:tcW w:type="dxa" w:w="5814"/>
          </w:tcPr>
          <w:p>
            <w:pPr>
              <w:pStyle w:val="null3"/>
              <w:jc w:val="both"/>
            </w:pPr>
            <w:r>
              <w:rPr>
                <w:sz w:val="21"/>
              </w:rPr>
              <w:t>安全服务工具测试完</w:t>
            </w:r>
            <w:r>
              <w:rPr>
                <w:sz w:val="21"/>
              </w:rPr>
              <w:t>成</w:t>
            </w:r>
            <w:r>
              <w:rPr>
                <w:sz w:val="21"/>
              </w:rPr>
              <w:t>后，对结果进行人工比对，</w:t>
            </w:r>
            <w:r>
              <w:rPr>
                <w:sz w:val="21"/>
              </w:rPr>
              <w:t>成交供应商</w:t>
            </w:r>
            <w:r>
              <w:rPr>
                <w:sz w:val="21"/>
              </w:rPr>
              <w:t>必须同时具备下列工具要求：</w:t>
            </w:r>
          </w:p>
          <w:tbl>
            <w:tblPr>
              <w:tblInd w:type="dxa" w:w="120"/>
              <w:tblBorders>
                <w:top w:val="none" w:color="000000" w:sz="4"/>
                <w:left w:val="none" w:color="000000" w:sz="4"/>
                <w:bottom w:val="none" w:color="000000" w:sz="4"/>
                <w:right w:val="none" w:color="000000" w:sz="4"/>
                <w:insideH w:val="none"/>
                <w:insideV w:val="none"/>
              </w:tblBorders>
            </w:tblPr>
            <w:tblGrid>
              <w:gridCol w:w="903"/>
              <w:gridCol w:w="4695"/>
            </w:tblGrid>
            <w:tr>
              <w:tc>
                <w:tcPr>
                  <w:tcW w:type="dxa" w:w="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工具名称</w:t>
                  </w:r>
                </w:p>
              </w:tc>
              <w:tc>
                <w:tcPr>
                  <w:tcW w:type="dxa" w:w="4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工具要求</w:t>
                  </w:r>
                </w:p>
              </w:tc>
            </w:tr>
            <w:tr>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等级保护检查工具</w:t>
                  </w:r>
                </w:p>
              </w:tc>
              <w:tc>
                <w:tcPr>
                  <w:tcW w:type="dxa" w:w="4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服务过程中提供等级保护检查工具</w:t>
                  </w:r>
                </w:p>
                <w:p>
                  <w:pPr>
                    <w:pStyle w:val="null3"/>
                    <w:jc w:val="left"/>
                  </w:pPr>
                  <w:r>
                    <w:rPr>
                      <w:sz w:val="21"/>
                    </w:rPr>
                    <w:t>工具原厂商为中国境内注册，产品拥有自主知识产权，并且为国内研发和生产。</w:t>
                  </w:r>
                </w:p>
                <w:p>
                  <w:pPr>
                    <w:pStyle w:val="null3"/>
                    <w:jc w:val="left"/>
                  </w:pPr>
                  <w:r>
                    <w:rPr>
                      <w:sz w:val="21"/>
                    </w:rPr>
                    <w:t>1、</w:t>
                  </w:r>
                  <w:r>
                    <w:rPr>
                      <w:sz w:val="21"/>
                    </w:rPr>
                    <w:t>▲工具制造商需具有国家版权局颁发的计算机软件著作权登记证书</w:t>
                  </w:r>
                  <w:r>
                    <w:rPr>
                      <w:sz w:val="21"/>
                      <w:b/>
                    </w:rPr>
                    <w:t>（</w:t>
                  </w:r>
                  <w:r>
                    <w:rPr>
                      <w:sz w:val="21"/>
                      <w:b/>
                    </w:rPr>
                    <w:t>响应时提供</w:t>
                  </w:r>
                  <w:r>
                    <w:rPr>
                      <w:sz w:val="21"/>
                      <w:b/>
                    </w:rPr>
                    <w:t>计算机软件著作权登记证书扫描件作为证明材料）。</w:t>
                  </w:r>
                </w:p>
                <w:p>
                  <w:pPr>
                    <w:pStyle w:val="null3"/>
                    <w:jc w:val="left"/>
                  </w:pPr>
                  <w:r>
                    <w:rPr>
                      <w:sz w:val="21"/>
                    </w:rPr>
                    <w:t>2、</w:t>
                  </w:r>
                  <w:r>
                    <w:rPr>
                      <w:sz w:val="21"/>
                    </w:rPr>
                    <w:t>▲工具制造商需具有中国网络安全审查技术与认证中心颁发的信息安全应急处理、风险评估服务资质</w:t>
                  </w:r>
                  <w:r>
                    <w:rPr>
                      <w:sz w:val="21"/>
                      <w:b/>
                    </w:rPr>
                    <w:t>（</w:t>
                  </w:r>
                  <w:r>
                    <w:rPr>
                      <w:sz w:val="21"/>
                      <w:b/>
                    </w:rPr>
                    <w:t>响应时</w:t>
                  </w:r>
                  <w:r>
                    <w:rPr>
                      <w:sz w:val="21"/>
                      <w:b/>
                    </w:rPr>
                    <w:t>提供</w:t>
                  </w:r>
                  <w:r>
                    <w:rPr>
                      <w:sz w:val="21"/>
                      <w:b/>
                    </w:rPr>
                    <w:t>证书扫描件作为证明材料）。</w:t>
                  </w:r>
                </w:p>
                <w:p>
                  <w:pPr>
                    <w:pStyle w:val="null3"/>
                    <w:jc w:val="left"/>
                  </w:pPr>
                  <w:r>
                    <w:rPr>
                      <w:sz w:val="21"/>
                    </w:rPr>
                    <w:t>3、</w:t>
                  </w:r>
                  <w:r>
                    <w:rPr>
                      <w:sz w:val="21"/>
                    </w:rPr>
                    <w:t>工具需具备以下检测能力：</w:t>
                  </w:r>
                </w:p>
                <w:p>
                  <w:pPr>
                    <w:pStyle w:val="null3"/>
                    <w:jc w:val="left"/>
                  </w:pPr>
                  <w:r>
                    <w:rPr>
                      <w:sz w:val="21"/>
                    </w:rPr>
                    <w:t>4、</w:t>
                  </w:r>
                  <w:r>
                    <w:rPr>
                      <w:sz w:val="21"/>
                    </w:rPr>
                    <w:t>▲工具应支持创建评测项目、执行评测项目、评测报告管理、评估指标库管理、漏洞库管理、弱口令字典库管理等</w:t>
                  </w:r>
                  <w:r>
                    <w:rPr>
                      <w:sz w:val="21"/>
                      <w:b/>
                    </w:rPr>
                    <w:t>（</w:t>
                  </w:r>
                  <w:r>
                    <w:rPr>
                      <w:sz w:val="21"/>
                      <w:b/>
                    </w:rPr>
                    <w:t>响应时提供</w:t>
                  </w:r>
                  <w:r>
                    <w:rPr>
                      <w:sz w:val="21"/>
                      <w:b/>
                    </w:rPr>
                    <w:t>系统截图作为证明</w:t>
                  </w:r>
                  <w:r>
                    <w:rPr>
                      <w:sz w:val="21"/>
                      <w:b/>
                    </w:rPr>
                    <w:t>材料）</w:t>
                  </w:r>
                  <w:r>
                    <w:rPr>
                      <w:sz w:val="21"/>
                    </w:rPr>
                    <w:t>。</w:t>
                  </w:r>
                </w:p>
                <w:p>
                  <w:pPr>
                    <w:pStyle w:val="null3"/>
                    <w:jc w:val="left"/>
                  </w:pPr>
                  <w:r>
                    <w:rPr>
                      <w:sz w:val="21"/>
                    </w:rPr>
                    <w:t>5、</w:t>
                  </w:r>
                  <w:r>
                    <w:rPr>
                      <w:sz w:val="21"/>
                    </w:rPr>
                    <w:t>▲工具配套脆弱性扫描与管理系统软件应支持系统漏洞扫描模块、WEB漏洞扫描模块、数据库漏洞扫描模块、基线配置核查模块、工控漏洞扫描模块、大数据漏洞扫描模块、Docker漏洞扫描模块、自动渗透测试模块、网络流量分析模块、源代码安全审计模块、网站安全监测模块、APP安全扫描模块、等保测评报告模块、WIFI安全监测模块等</w:t>
                  </w:r>
                  <w:r>
                    <w:rPr>
                      <w:sz w:val="21"/>
                      <w:b/>
                    </w:rPr>
                    <w:t>（</w:t>
                  </w:r>
                  <w:r>
                    <w:rPr>
                      <w:sz w:val="21"/>
                      <w:b/>
                    </w:rPr>
                    <w:t>响应时提供</w:t>
                  </w:r>
                  <w:r>
                    <w:rPr>
                      <w:sz w:val="21"/>
                      <w:b/>
                    </w:rPr>
                    <w:t>系统截图作为证明</w:t>
                  </w:r>
                  <w:r>
                    <w:rPr>
                      <w:sz w:val="21"/>
                      <w:b/>
                    </w:rPr>
                    <w:t>材料）。</w:t>
                  </w:r>
                </w:p>
              </w:tc>
            </w:tr>
            <w:tr>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网络边界完整性检查管理系统</w:t>
                  </w:r>
                </w:p>
              </w:tc>
              <w:tc>
                <w:tcPr>
                  <w:tcW w:type="dxa" w:w="4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服务过程中提供对网络边界完整性检查</w:t>
                  </w:r>
                </w:p>
                <w:p>
                  <w:pPr>
                    <w:pStyle w:val="null3"/>
                    <w:jc w:val="both"/>
                  </w:pPr>
                  <w:r>
                    <w:rPr>
                      <w:sz w:val="21"/>
                    </w:rPr>
                    <w:t>工具原厂商为中国境内注册，产品拥有自主知识产权，并且为国内研发和生产。</w:t>
                  </w:r>
                </w:p>
                <w:p>
                  <w:pPr>
                    <w:pStyle w:val="null3"/>
                    <w:jc w:val="both"/>
                  </w:pPr>
                  <w:r>
                    <w:rPr>
                      <w:sz w:val="21"/>
                    </w:rPr>
                    <w:t>▲工具制造商需具有国家版权局颁发的与网络边界完整性检查管理系统相关的计算机软件著作权登记证书</w:t>
                  </w:r>
                  <w:r>
                    <w:rPr>
                      <w:sz w:val="21"/>
                      <w:b/>
                    </w:rPr>
                    <w:t>（</w:t>
                  </w:r>
                  <w:r>
                    <w:rPr>
                      <w:sz w:val="21"/>
                      <w:b/>
                    </w:rPr>
                    <w:t>响应时提供</w:t>
                  </w:r>
                  <w:r>
                    <w:rPr>
                      <w:sz w:val="21"/>
                      <w:b/>
                    </w:rPr>
                    <w:t>算机软件著作权登记证书扫描件作为证明材料）。</w:t>
                  </w:r>
                </w:p>
                <w:p>
                  <w:pPr>
                    <w:pStyle w:val="null3"/>
                    <w:jc w:val="both"/>
                  </w:pPr>
                  <w:r>
                    <w:rPr>
                      <w:sz w:val="21"/>
                    </w:rPr>
                    <w:t>工具需具备以下检测能力：</w:t>
                  </w:r>
                </w:p>
                <w:p>
                  <w:pPr>
                    <w:pStyle w:val="null3"/>
                    <w:jc w:val="both"/>
                  </w:pPr>
                  <w:r>
                    <w:rPr>
                      <w:sz w:val="21"/>
                    </w:rPr>
                    <w:t>▲1、通过远程网络扫描，完成对违规内联行为的检测和定位</w:t>
                  </w:r>
                  <w:r>
                    <w:rPr>
                      <w:sz w:val="21"/>
                      <w:b/>
                    </w:rPr>
                    <w:t>（</w:t>
                  </w:r>
                  <w:r>
                    <w:rPr>
                      <w:sz w:val="21"/>
                      <w:b/>
                    </w:rPr>
                    <w:t>响应时提供</w:t>
                  </w:r>
                  <w:r>
                    <w:rPr>
                      <w:sz w:val="21"/>
                      <w:b/>
                    </w:rPr>
                    <w:t>系统</w:t>
                  </w:r>
                  <w:r>
                    <w:rPr>
                      <w:sz w:val="21"/>
                      <w:b/>
                    </w:rPr>
                    <w:t>截图作为证明材料）</w:t>
                  </w:r>
                  <w:r>
                    <w:rPr>
                      <w:sz w:val="21"/>
                    </w:rPr>
                    <w:t>。</w:t>
                  </w:r>
                </w:p>
                <w:p>
                  <w:pPr>
                    <w:pStyle w:val="null3"/>
                    <w:jc w:val="both"/>
                  </w:pPr>
                  <w:r>
                    <w:rPr>
                      <w:sz w:val="21"/>
                    </w:rPr>
                    <w:t>▲2、接入层网络设备的自动发现，应可自动识别设备厂商；自动扫描采集设备的软硬件信息，包括设备名称、设备描述、型号、软件版本、物理接口数量等</w:t>
                  </w:r>
                  <w:r>
                    <w:rPr>
                      <w:sz w:val="21"/>
                      <w:b/>
                    </w:rPr>
                    <w:t>（</w:t>
                  </w:r>
                  <w:r>
                    <w:rPr>
                      <w:sz w:val="21"/>
                      <w:b/>
                    </w:rPr>
                    <w:t>响应时提供</w:t>
                  </w:r>
                  <w:r>
                    <w:rPr>
                      <w:sz w:val="21"/>
                      <w:b/>
                    </w:rPr>
                    <w:t>系统</w:t>
                  </w:r>
                  <w:r>
                    <w:rPr>
                      <w:sz w:val="21"/>
                      <w:b/>
                    </w:rPr>
                    <w:t>截图作为证明材料）。</w:t>
                  </w:r>
                </w:p>
                <w:p>
                  <w:pPr>
                    <w:pStyle w:val="null3"/>
                    <w:jc w:val="both"/>
                  </w:pPr>
                  <w:r>
                    <w:rPr>
                      <w:sz w:val="21"/>
                    </w:rPr>
                    <w:t>▲3、接入层交换设备端口和下联MAC地址的关联定位，应可自动识别接入层交换设备端口下联的MAC地址及其对应的IP地址；应对每一设备端口的接入历史提供详细审计，应可查询任一设备端口在过去某一时段曾接入的MAC地址和其对应的IP地址</w:t>
                  </w:r>
                  <w:r>
                    <w:rPr>
                      <w:sz w:val="21"/>
                      <w:b/>
                    </w:rPr>
                    <w:t>（</w:t>
                  </w:r>
                  <w:r>
                    <w:rPr>
                      <w:sz w:val="21"/>
                      <w:b/>
                    </w:rPr>
                    <w:t>响应时提供</w:t>
                  </w:r>
                  <w:r>
                    <w:rPr>
                      <w:sz w:val="21"/>
                      <w:b/>
                    </w:rPr>
                    <w:t>系统</w:t>
                  </w:r>
                  <w:r>
                    <w:rPr>
                      <w:sz w:val="21"/>
                      <w:b/>
                    </w:rPr>
                    <w:t>截图作为证明材料）</w:t>
                  </w:r>
                  <w:r>
                    <w:rPr>
                      <w:sz w:val="21"/>
                    </w:rPr>
                    <w:t>。</w:t>
                  </w:r>
                </w:p>
                <w:p>
                  <w:pPr>
                    <w:pStyle w:val="null3"/>
                    <w:jc w:val="both"/>
                  </w:pPr>
                  <w:r>
                    <w:rPr>
                      <w:sz w:val="21"/>
                    </w:rPr>
                    <w:t>4、工具基于WEB管理，提供HTTPS访问模式。</w:t>
                  </w:r>
                </w:p>
                <w:p>
                  <w:pPr>
                    <w:pStyle w:val="null3"/>
                    <w:jc w:val="both"/>
                  </w:pPr>
                  <w:r>
                    <w:rPr>
                      <w:sz w:val="21"/>
                    </w:rPr>
                    <w:t>5、系统自身需提供用户校验机制，用户密码设置需提供复杂度检验机制，保证系统自身密码强壮性。</w:t>
                  </w:r>
                </w:p>
                <w:p>
                  <w:pPr>
                    <w:pStyle w:val="null3"/>
                    <w:jc w:val="both"/>
                  </w:pPr>
                  <w:r>
                    <w:rPr>
                      <w:sz w:val="21"/>
                    </w:rPr>
                    <w:t>6、应提供定点登录机制，即只允许用户从指定的地址登录，防止系统遭暴力破解和攻击。</w:t>
                  </w:r>
                </w:p>
                <w:p>
                  <w:pPr>
                    <w:pStyle w:val="null3"/>
                    <w:jc w:val="both"/>
                  </w:pPr>
                  <w:r>
                    <w:rPr>
                      <w:sz w:val="21"/>
                    </w:rPr>
                    <w:t>▲7、用户登录失败次数超过设定阀值，应提供用户锁定功能，防止系统遭受暴力破解</w:t>
                  </w:r>
                  <w:r>
                    <w:rPr>
                      <w:sz w:val="21"/>
                      <w:b/>
                    </w:rPr>
                    <w:t>（</w:t>
                  </w:r>
                  <w:r>
                    <w:rPr>
                      <w:sz w:val="21"/>
                      <w:b/>
                    </w:rPr>
                    <w:t>响应时提供</w:t>
                  </w:r>
                  <w:r>
                    <w:rPr>
                      <w:sz w:val="21"/>
                      <w:b/>
                    </w:rPr>
                    <w:t>系统</w:t>
                  </w:r>
                  <w:r>
                    <w:rPr>
                      <w:sz w:val="21"/>
                      <w:b/>
                    </w:rPr>
                    <w:t>截图作为证明材料）。</w:t>
                  </w:r>
                </w:p>
              </w:tc>
            </w:tr>
            <w:tr>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网络安全事件调查处置工具箱系统</w:t>
                  </w:r>
                </w:p>
              </w:tc>
              <w:tc>
                <w:tcPr>
                  <w:tcW w:type="dxa" w:w="4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服务过程中提供网络安全事件调查处置工具对网络安全事件调查处置工作现场的技术支持，根据制定的任务生成采集U盘，通过工具进行现场数据采集、数据分析、攻击事件回溯、生成调查报告四个步骤完成调查处置工作。并将调查结果数据上报到网络安全事件调查处置平台中，通过平台的长期运行、数据积累，为信息系统和网络安全态势感知与通报预警提供精准的网络安全事件数据,并且通过大数据分析，能够预知、预判网络安全事件的发展和爆发趋势，及时进行通报预警。</w:t>
                  </w:r>
                </w:p>
                <w:p>
                  <w:pPr>
                    <w:pStyle w:val="null3"/>
                    <w:jc w:val="both"/>
                  </w:pPr>
                  <w:r>
                    <w:rPr>
                      <w:sz w:val="21"/>
                    </w:rPr>
                    <w:t>▲2、工具制造商需具有国家版权局颁发的与网络安全事件调查处置工具箱系统相关的计算机软件著作权登记证书</w:t>
                  </w:r>
                  <w:r>
                    <w:rPr>
                      <w:sz w:val="21"/>
                      <w:b/>
                    </w:rPr>
                    <w:t>（</w:t>
                  </w:r>
                  <w:r>
                    <w:rPr>
                      <w:sz w:val="21"/>
                      <w:b/>
                    </w:rPr>
                    <w:t>响应时提供</w:t>
                  </w:r>
                  <w:r>
                    <w:rPr>
                      <w:sz w:val="21"/>
                      <w:b/>
                    </w:rPr>
                    <w:t>计算机软件著作权登记证书扫描件作为证明</w:t>
                  </w:r>
                  <w:r>
                    <w:rPr>
                      <w:sz w:val="21"/>
                      <w:b/>
                    </w:rPr>
                    <w:t>材料）。</w:t>
                  </w:r>
                </w:p>
                <w:p>
                  <w:pPr>
                    <w:pStyle w:val="null3"/>
                    <w:jc w:val="both"/>
                  </w:pPr>
                  <w:r>
                    <w:rPr>
                      <w:sz w:val="21"/>
                    </w:rPr>
                    <w:t>▲3、支持将攻击者攻击行为进行回溯，包括扫描网站、发现漏洞、发起攻击、入侵主机、高危后果、清除痕迹共6个过程</w:t>
                  </w:r>
                  <w:r>
                    <w:rPr>
                      <w:sz w:val="21"/>
                      <w:b/>
                    </w:rPr>
                    <w:t>（</w:t>
                  </w:r>
                  <w:r>
                    <w:rPr>
                      <w:sz w:val="21"/>
                      <w:b/>
                    </w:rPr>
                    <w:t>响应时提供</w:t>
                  </w:r>
                  <w:r>
                    <w:rPr>
                      <w:sz w:val="21"/>
                      <w:b/>
                    </w:rPr>
                    <w:t>系统</w:t>
                  </w:r>
                  <w:r>
                    <w:rPr>
                      <w:sz w:val="21"/>
                      <w:b/>
                    </w:rPr>
                    <w:t>截图作为证明材料）。</w:t>
                  </w:r>
                </w:p>
                <w:p>
                  <w:pPr>
                    <w:pStyle w:val="null3"/>
                    <w:jc w:val="both"/>
                  </w:pPr>
                  <w:r>
                    <w:rPr>
                      <w:sz w:val="21"/>
                    </w:rPr>
                    <w:t>▲4、支持知识库管理，主要包括：漏洞库、恶意程序样本库、网络安全事件处置知识库、调查处置工具库4个功能</w:t>
                  </w:r>
                  <w:r>
                    <w:rPr>
                      <w:sz w:val="21"/>
                      <w:b/>
                    </w:rPr>
                    <w:t>（</w:t>
                  </w:r>
                  <w:r>
                    <w:rPr>
                      <w:sz w:val="21"/>
                      <w:b/>
                    </w:rPr>
                    <w:t>响应时提供</w:t>
                  </w:r>
                  <w:r>
                    <w:rPr>
                      <w:sz w:val="21"/>
                      <w:b/>
                    </w:rPr>
                    <w:t>系统</w:t>
                  </w:r>
                  <w:r>
                    <w:rPr>
                      <w:sz w:val="21"/>
                      <w:b/>
                    </w:rPr>
                    <w:t>截图作为证明材料）。</w:t>
                  </w:r>
                </w:p>
              </w:tc>
            </w:tr>
            <w:tr>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内网安全管理系统</w:t>
                  </w:r>
                </w:p>
              </w:tc>
              <w:tc>
                <w:tcPr>
                  <w:tcW w:type="dxa" w:w="4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服务过程中提供对内网进行安全检测</w:t>
                  </w:r>
                </w:p>
                <w:p>
                  <w:pPr>
                    <w:pStyle w:val="null3"/>
                    <w:jc w:val="both"/>
                  </w:pPr>
                  <w:r>
                    <w:rPr>
                      <w:sz w:val="21"/>
                    </w:rPr>
                    <w:t>▲1、工具制造商需具有国家版权局颁发的软件著作权登记证书</w:t>
                  </w:r>
                  <w:r>
                    <w:rPr>
                      <w:sz w:val="21"/>
                      <w:b/>
                    </w:rPr>
                    <w:t>（</w:t>
                  </w:r>
                  <w:r>
                    <w:rPr>
                      <w:sz w:val="21"/>
                      <w:b/>
                    </w:rPr>
                    <w:t>响应时提供</w:t>
                  </w:r>
                  <w:r>
                    <w:rPr>
                      <w:sz w:val="21"/>
                      <w:b/>
                    </w:rPr>
                    <w:t>计算机软件著作权登记证书扫描件作为证明</w:t>
                  </w:r>
                  <w:r>
                    <w:rPr>
                      <w:sz w:val="21"/>
                      <w:b/>
                    </w:rPr>
                    <w:t>材料）。</w:t>
                  </w:r>
                </w:p>
                <w:p>
                  <w:pPr>
                    <w:pStyle w:val="null3"/>
                    <w:jc w:val="both"/>
                  </w:pPr>
                  <w:r>
                    <w:rPr>
                      <w:sz w:val="21"/>
                    </w:rPr>
                    <w:t>▲2、基本功能：在windows/Linux系统下，实现从EFI/UEFI/MBR层开始接管主机，早于操作系统启动，能够监控包括操作系统在内的所有运行轨迹，实现“全息日志”监控</w:t>
                  </w:r>
                  <w:r>
                    <w:rPr>
                      <w:sz w:val="21"/>
                      <w:b/>
                    </w:rPr>
                    <w:t>（</w:t>
                  </w:r>
                  <w:r>
                    <w:rPr>
                      <w:sz w:val="21"/>
                      <w:b/>
                    </w:rPr>
                    <w:t>响应时提供</w:t>
                  </w:r>
                  <w:r>
                    <w:rPr>
                      <w:sz w:val="21"/>
                      <w:b/>
                    </w:rPr>
                    <w:t>系统截图作为证明材料）</w:t>
                  </w:r>
                  <w:r>
                    <w:rPr>
                      <w:sz w:val="21"/>
                    </w:rPr>
                    <w:t>。</w:t>
                  </w:r>
                </w:p>
                <w:p>
                  <w:pPr>
                    <w:pStyle w:val="null3"/>
                    <w:jc w:val="both"/>
                  </w:pPr>
                  <w:r>
                    <w:rPr>
                      <w:sz w:val="21"/>
                    </w:rPr>
                    <w:t>▲3、根据全息日志，进行逆向推导，可以使系统回退到过去的任意时刻，反之，向前推导，可以从过去某个时刻再返回后来的某个时刻，从而实现整个主机系统的“时光旅行”</w:t>
                  </w:r>
                  <w:r>
                    <w:rPr>
                      <w:sz w:val="21"/>
                      <w:b/>
                    </w:rPr>
                    <w:t>（</w:t>
                  </w:r>
                  <w:r>
                    <w:rPr>
                      <w:sz w:val="21"/>
                      <w:b/>
                    </w:rPr>
                    <w:t>响应时提供</w:t>
                  </w:r>
                  <w:r>
                    <w:rPr>
                      <w:sz w:val="21"/>
                      <w:b/>
                    </w:rPr>
                    <w:t>系统截图证明材料）。</w:t>
                  </w:r>
                </w:p>
                <w:p>
                  <w:pPr>
                    <w:pStyle w:val="null3"/>
                    <w:jc w:val="both"/>
                  </w:pPr>
                  <w:r>
                    <w:rPr>
                      <w:sz w:val="21"/>
                    </w:rPr>
                    <w:t>4、在一定时段内，可以随意找回硬盘在该时段内任意时刻的数据。</w:t>
                  </w:r>
                </w:p>
                <w:p>
                  <w:pPr>
                    <w:pStyle w:val="null3"/>
                    <w:jc w:val="both"/>
                  </w:pPr>
                  <w:r>
                    <w:rPr>
                      <w:sz w:val="21"/>
                    </w:rPr>
                    <w:t>5、易用性：简易式操作界面，安装后无需任何操作设置就可以备份系统和所有数据，可以任意恢复系统，找回任何数据。</w:t>
                  </w:r>
                </w:p>
                <w:p>
                  <w:pPr>
                    <w:pStyle w:val="null3"/>
                    <w:jc w:val="both"/>
                  </w:pPr>
                  <w:r>
                    <w:rPr>
                      <w:sz w:val="21"/>
                    </w:rPr>
                    <w:t>6、性能：系统效率影响小于3%。</w:t>
                  </w:r>
                </w:p>
                <w:p>
                  <w:pPr>
                    <w:pStyle w:val="null3"/>
                    <w:jc w:val="both"/>
                  </w:pPr>
                  <w:r>
                    <w:rPr>
                      <w:sz w:val="21"/>
                    </w:rPr>
                    <w:t>功能：任何硬盘数据的找回都无需重启系统。任何数据的找回，无需覆盖或者破坏当前数据，实现数据的实时在线验证。</w:t>
                  </w:r>
                </w:p>
                <w:p>
                  <w:pPr>
                    <w:pStyle w:val="null3"/>
                    <w:jc w:val="left"/>
                  </w:pPr>
                  <w:r>
                    <w:rPr>
                      <w:sz w:val="21"/>
                    </w:rPr>
                    <w:t>8、操作系统：支持：windowsxp及以上的windows操作系统支持：server2003及以上的server的操作系统支持：Linux环境支持开源版Centos/Ubuntu/RedHat/TeamLinux/USE/Debian等。</w:t>
                  </w:r>
                </w:p>
              </w:tc>
            </w:tr>
            <w:tr>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等级保护合规检查工具箱</w:t>
                  </w:r>
                </w:p>
              </w:tc>
              <w:tc>
                <w:tcPr>
                  <w:tcW w:type="dxa" w:w="4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1、支持自动扫描IP资产信息，包括：“存活IP、设备厂商、操作系统、端口、应用、数据库、中间件、服务版本”等资产指纹特征。</w:t>
                  </w:r>
                </w:p>
                <w:p>
                  <w:pPr>
                    <w:pStyle w:val="null3"/>
                    <w:jc w:val="both"/>
                  </w:pPr>
                  <w:r>
                    <w:rPr>
                      <w:sz w:val="21"/>
                    </w:rPr>
                    <w:t>2、支持自动识别网站资产信息，包括：“中间件信息、web框架信息、CMS&amp;OA、程序语言”等指纹信息，支持爬取网站后台、ICP备案编号、网站标题、网站返回码等属性。</w:t>
                  </w:r>
                </w:p>
                <w:p>
                  <w:pPr>
                    <w:pStyle w:val="null3"/>
                    <w:jc w:val="both"/>
                  </w:pPr>
                  <w:r>
                    <w:rPr>
                      <w:sz w:val="21"/>
                    </w:rPr>
                    <w:t>3、支持二级域名扫描功能，输入一级域名进行一键扫描，通过搜索互联网数据，自动获取到该域名的二级域名、网站标题、解析IP地址。</w:t>
                  </w:r>
                </w:p>
                <w:p>
                  <w:pPr>
                    <w:pStyle w:val="null3"/>
                    <w:jc w:val="both"/>
                  </w:pPr>
                  <w:r>
                    <w:rPr>
                      <w:sz w:val="21"/>
                    </w:rPr>
                    <w:t>▲4、通过爬取单位已知的网站页面，分析网页中是否包含企业单位相关的网站链接，从而发现未知网站；可配置“网段、域名”等命中规则，自动判断是否属于企业单位的网址</w:t>
                  </w:r>
                  <w:r>
                    <w:rPr>
                      <w:sz w:val="21"/>
                      <w:b/>
                    </w:rPr>
                    <w:t>（响应时提供系统截图作为证明材料）</w:t>
                  </w:r>
                  <w:r>
                    <w:rPr>
                      <w:sz w:val="21"/>
                    </w:rPr>
                    <w:t>。</w:t>
                  </w:r>
                </w:p>
                <w:p>
                  <w:pPr>
                    <w:pStyle w:val="null3"/>
                    <w:jc w:val="both"/>
                  </w:pPr>
                  <w:r>
                    <w:rPr>
                      <w:sz w:val="21"/>
                    </w:rPr>
                    <w:t>5、支持网站漏洞评估能力，提供多种Web应用漏洞的安全检测，如“SQL注入、跨站脚本、文件包含、CSRF、目录遍历”等网站脆弱性漏洞。</w:t>
                  </w:r>
                </w:p>
                <w:p>
                  <w:pPr>
                    <w:pStyle w:val="null3"/>
                    <w:jc w:val="both"/>
                  </w:pPr>
                  <w:r>
                    <w:rPr>
                      <w:sz w:val="21"/>
                    </w:rPr>
                    <w:t>▲6、漏洞库漏洞信息大于210000+条，与CVE、CNNVD等主流标准兼容，提供详细的漏洞描述和对应的解决方案描述。支持通过多种维度对漏洞进行检索，包括：CVE ID、CNNVD ID、漏洞名称、漏洞风险等级等维度。可基于资产的版本信息，全面、快速进行漏洞版本比对，兼容CVE 、CNNVD等漏洞库</w:t>
                  </w:r>
                  <w:r>
                    <w:rPr>
                      <w:sz w:val="21"/>
                      <w:b/>
                    </w:rPr>
                    <w:t>（响应时提供系统截图作为证明材料）</w:t>
                  </w:r>
                  <w:r>
                    <w:rPr>
                      <w:sz w:val="21"/>
                    </w:rPr>
                    <w:t>。</w:t>
                  </w:r>
                </w:p>
                <w:p>
                  <w:pPr>
                    <w:pStyle w:val="null3"/>
                    <w:jc w:val="both"/>
                  </w:pPr>
                  <w:r>
                    <w:rPr>
                      <w:sz w:val="21"/>
                    </w:rPr>
                    <w:t>▲7、支持漏洞跟踪管理，能够自动对漏洞状态进行处置，自动识别“新增、已修复、未修复”的漏洞，同时支持人工方式进行漏洞状态处置，以及编写漏洞备注</w:t>
                  </w:r>
                  <w:r>
                    <w:rPr>
                      <w:sz w:val="21"/>
                      <w:b/>
                    </w:rPr>
                    <w:t>（响应时提供系统</w:t>
                  </w:r>
                  <w:r>
                    <w:rPr>
                      <w:sz w:val="21"/>
                      <w:b/>
                    </w:rPr>
                    <w:t>截图作为证明材料）。</w:t>
                  </w:r>
                </w:p>
                <w:p>
                  <w:pPr>
                    <w:pStyle w:val="null3"/>
                    <w:jc w:val="both"/>
                  </w:pPr>
                  <w:r>
                    <w:rPr>
                      <w:sz w:val="21"/>
                    </w:rPr>
                    <w:t>8、支持20种以上常见设备和应用的配置检查，包括操作系统、应用中间件、数据库。</w:t>
                  </w:r>
                </w:p>
                <w:p>
                  <w:pPr>
                    <w:pStyle w:val="null3"/>
                    <w:jc w:val="both"/>
                  </w:pPr>
                  <w:r>
                    <w:rPr>
                      <w:sz w:val="21"/>
                    </w:rPr>
                    <w:t>▲9、要求采用欺骗防御相关技术实现失陷主机微隔离处置</w:t>
                  </w:r>
                  <w:r>
                    <w:rPr>
                      <w:sz w:val="21"/>
                      <w:b/>
                    </w:rPr>
                    <w:t>（响应时提供系统截图作为</w:t>
                  </w:r>
                  <w:r>
                    <w:rPr>
                      <w:sz w:val="21"/>
                      <w:b/>
                    </w:rPr>
                    <w:t>证明材料）。</w:t>
                  </w:r>
                </w:p>
                <w:p>
                  <w:pPr>
                    <w:pStyle w:val="null3"/>
                    <w:jc w:val="both"/>
                  </w:pPr>
                  <w:r>
                    <w:rPr>
                      <w:sz w:val="21"/>
                    </w:rPr>
                    <w:t>▲10、支持通过反向代理的方式，接入用户自身搭建的应用系统，从而实现完全仿真真实业务系统，生成完全仿真蜜罐</w:t>
                  </w:r>
                  <w:r>
                    <w:rPr>
                      <w:sz w:val="21"/>
                      <w:b/>
                    </w:rPr>
                    <w:t>（响应时提供系统</w:t>
                  </w:r>
                  <w:r>
                    <w:rPr>
                      <w:sz w:val="21"/>
                      <w:b/>
                    </w:rPr>
                    <w:t>截图作为证明材料）。</w:t>
                  </w:r>
                </w:p>
                <w:p>
                  <w:pPr>
                    <w:pStyle w:val="null3"/>
                    <w:jc w:val="both"/>
                  </w:pPr>
                  <w:r>
                    <w:rPr>
                      <w:sz w:val="21"/>
                    </w:rPr>
                    <w:t>11、参考MITRE ATT&amp;CK，采用多种取证技术手段，还原黑客攻击入侵蜜罐的过程，形成黑客攻击链，攻击链检测包含：“针对蜜罐的探测扫描、渗透攻击、攻陷蜜罐、在蜜罐上安装后门远控程序、利用蜜罐进行跳板攻击”等入侵过程。</w:t>
                  </w:r>
                </w:p>
                <w:p>
                  <w:pPr>
                    <w:pStyle w:val="null3"/>
                    <w:jc w:val="both"/>
                  </w:pPr>
                  <w:r>
                    <w:rPr>
                      <w:sz w:val="21"/>
                    </w:rPr>
                    <w:t>12、支持记录攻击者的“黑客社交画像”信息，包括社交账号、手机号、昵称、用户ID、头像等信息，支持多种黑客社交画像，至少包括：QQ、百度、哔哩哔哩等6种不同类型的社交账号。</w:t>
                  </w:r>
                </w:p>
                <w:p>
                  <w:pPr>
                    <w:pStyle w:val="null3"/>
                    <w:jc w:val="both"/>
                  </w:pPr>
                  <w:r>
                    <w:rPr>
                      <w:sz w:val="21"/>
                    </w:rPr>
                    <w:t>13、可警告攻击者，比如灌输国家网络安全法、告知已获得相关溯源信息，发挥蜜罐威慑作用，使攻击者放弃后续的攻击行为；可灵活指定对某个攻击源IP地址发起威慑反制。</w:t>
                  </w:r>
                </w:p>
                <w:p>
                  <w:pPr>
                    <w:pStyle w:val="null3"/>
                    <w:jc w:val="both"/>
                  </w:pPr>
                  <w:r>
                    <w:rPr>
                      <w:sz w:val="21"/>
                    </w:rPr>
                    <w:t>14、支持生成某个监测维度报表，包括：敏感词事件报表、敏感文件事件报表、黑链事件报表、失陷主机事件报表、可用性事件报表、域名劫持事件报表、漏洞列表等各个监测维度的报表。</w:t>
                  </w:r>
                </w:p>
                <w:p>
                  <w:pPr>
                    <w:pStyle w:val="null3"/>
                    <w:jc w:val="both"/>
                  </w:pPr>
                  <w:r>
                    <w:rPr>
                      <w:sz w:val="21"/>
                    </w:rPr>
                    <w:t>15、展示整体安全监测概况，呈现主机资产信息以及主机监测雷达图，包含：“弱口令、可入侵漏洞、高风险漏洞”等概况；呈现攻击监测诱饵监测概况，包含：“失陷主机统计、攻击链统计、威胁趋势”等。</w:t>
                  </w:r>
                </w:p>
                <w:p>
                  <w:pPr>
                    <w:pStyle w:val="null3"/>
                    <w:jc w:val="both"/>
                  </w:pPr>
                  <w:r>
                    <w:rPr>
                      <w:sz w:val="21"/>
                    </w:rPr>
                    <w:t>16、支持大屏展示功能，可视化呈现监测中心的数据，包括主机资产监测概况、攻击监测诱饵监测概况，大屏界面能够自动刷新监测数据，实时展示最新监测结果。</w:t>
                  </w:r>
                </w:p>
                <w:p>
                  <w:pPr>
                    <w:pStyle w:val="null3"/>
                    <w:jc w:val="both"/>
                  </w:pPr>
                  <w:r>
                    <w:rPr>
                      <w:sz w:val="21"/>
                    </w:rPr>
                    <w:t>▲17、具有中华人民共和国国家版权局颁发的与Web应用安全检测系统相关的计算机软件著作权登记证书</w:t>
                  </w:r>
                  <w:r>
                    <w:rPr>
                      <w:sz w:val="21"/>
                      <w:b/>
                    </w:rPr>
                    <w:t>（响应时提供</w:t>
                  </w:r>
                  <w:r>
                    <w:rPr>
                      <w:sz w:val="21"/>
                      <w:b/>
                    </w:rPr>
                    <w:t>计算机软件著作权登记证书扫描件作为证明</w:t>
                  </w:r>
                  <w:r>
                    <w:rPr>
                      <w:sz w:val="21"/>
                      <w:b/>
                    </w:rPr>
                    <w:t>材料）。</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佛山市教育局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为服务采购，以项目成交金额为基数计算招标代理费，招标代理费收费按差额定律累进法计算：成交金额在100万元以下部分，按1.50%计算；成交金额在100万－500万元部分，按0.80%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 2、本项目所属行业为软件和信息技术服务业，软件和信息技术服务业的划分标准：从业人员300人以下或營業收入10000万元以下的为中小微型企业。其中，从业人员100人及以上，且營業收入1000万元及以上的为中型企业；从业人员10人及以上，且營業收入50万元及以上的为小型企业；从业人员10人以下或營業收入50万元以下的为微型企业。</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；请各供应商在响应文件递交截止时间前按须知前附表规定的金额递交至</w:t>
      </w:r>
      <w:r>
        <w:rPr/>
        <w:t>广东中采招标有限公司</w:t>
      </w:r>
      <w:r>
        <w:rPr/>
        <w:t>，到账情况以开启时</w:t>
      </w:r>
      <w:r>
        <w:rPr/>
        <w:t>广东中采招标有限公司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广东省公共资源交易平台（佛山市）（https://ygp.gdzwfw.gov.cn/ggzy-portal/#/440600/index）及采购代理机构网站（http://www.gdzczb.com/）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广东省公共资源交易平台（佛山市）（https://ygp.gdzwfw.gov.cn/ggzy-portal/#/440600/index）及采购代理机构网站（http://www.gdzczb.com/）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佛山市教育局信息化项目安全等级保护测评服务（2024年）)：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广东中采招标有限公司</w:t>
      </w:r>
      <w:r>
        <w:rPr/>
        <w:t>统一对外发布。</w:t>
      </w:r>
    </w:p>
    <w:p>
      <w:pPr>
        <w:pStyle w:val="null3"/>
        <w:ind w:firstLine="480"/>
      </w:pPr>
      <w:r>
        <w:rPr/>
        <w:t>（2）对</w:t>
      </w:r>
      <w:r>
        <w:rPr/>
        <w:t>广东中采招标有限公司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采购包1（佛山市教育局信息化项目安全等级保护测评服务（2024年））：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采购包1（佛山市教育局信息化项目安全等级保护测评服务（2024年））：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2023年度的财务状况报告，财务状况报告须由第三方会计师事务所出具，并能清晰显示第三方会计师事务所的印章和注册会计师签字盖章，且能反映审计结论；②基本开户银行出具的资信证明（要求：提供投标截止之日前6个月内（含投标截止时间当月）任意一个月出具的资信证明。如资信证明不能体现基本开户账户的，应另附开户许可证（无开户许可证的，可提供由银行开具的《基本存款账户信息》（公户账户主档）或其他相关证明资料）；③提供《政府采购供应商资格信用承诺函》作为证明材料（承诺函格式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须提供下列任一项证明材料：①参照响应承诺函相关承诺格式内容；②提供《政府采购供应商资格信用承诺函》作为证明材料（承诺函格式见公告附件）。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 监理、 检测等服务的供应商，不得再参与本项目投标（响应）。响应承诺函相关承诺要求内容。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投标人具有公安部第三研究所颁发的有效期内的《网络安全等级测评与检测评估机构服务认证证书》或《网络安全服务认证证书等级保护测评服务认证》，投标时提交相关证书扫描件。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采购包整体专门面向中小企业采购，监狱企业、残疾人福利性单位视同小型、微型企业。 （1）中小企业评审及《中小企业声明函》填写要求： ① 本项目为服务类项目，投标人须根据本项目采购类别选择对应的《中小企业声明函》填写。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ind w:firstLine="480"/>
      </w:pPr>
      <w:r>
        <w:rPr/>
        <w:t>表二符合性审查表：</w:t>
      </w:r>
    </w:p>
    <w:p>
      <w:pPr>
        <w:pStyle w:val="null3"/>
      </w:pPr>
      <w:r>
        <w:rPr/>
        <w:t>采购包1（佛山市教育局信息化项目安全等级保护测评服务（2024年））：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提交响应承诺函。报价文件完整，报价内容基本完整，无重大错漏，并按要求签署、盖章。</w:t>
            </w:r>
          </w:p>
        </w:tc>
        <w:tc>
          <w:tcPr>
            <w:tcW w:type="dxa" w:w="4238"/>
          </w:tcPr>
          <w:p>
            <w:pPr>
              <w:pStyle w:val="null3"/>
            </w:pPr>
            <w:r>
              <w:rPr/>
              <w:t>提交响应承诺函。报价文件完整，报价内容基本完整，无重大错漏，并按要求签署、盖章。</w:t>
            </w:r>
          </w:p>
        </w:tc>
      </w:tr>
      <w:tr>
        <w:tc>
          <w:tcPr>
            <w:tcW w:type="dxa" w:w="890"/>
          </w:tcPr>
          <w:p>
            <w:pPr>
              <w:pStyle w:val="null3"/>
            </w:pPr>
            <w:r>
              <w:rPr/>
              <w:t>2</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3</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4</w:t>
            </w:r>
          </w:p>
        </w:tc>
        <w:tc>
          <w:tcPr>
            <w:tcW w:type="dxa" w:w="3178"/>
          </w:tcPr>
          <w:p>
            <w:pPr>
              <w:pStyle w:val="null3"/>
            </w:pPr>
            <w:r>
              <w:rPr/>
              <w:t>如有报价修正,报价人按规定书面确认。</w:t>
            </w:r>
          </w:p>
        </w:tc>
        <w:tc>
          <w:tcPr>
            <w:tcW w:type="dxa" w:w="4238"/>
          </w:tcPr>
          <w:p>
            <w:pPr>
              <w:pStyle w:val="null3"/>
            </w:pPr>
            <w:r>
              <w:rPr/>
              <w:t>如有报价修正,报价人按规定书面确认。</w:t>
            </w:r>
          </w:p>
        </w:tc>
      </w:tr>
      <w:tr>
        <w:tc>
          <w:tcPr>
            <w:tcW w:type="dxa" w:w="890"/>
          </w:tcPr>
          <w:p>
            <w:pPr>
              <w:pStyle w:val="null3"/>
            </w:pPr>
            <w:r>
              <w:rPr/>
              <w:t>5</w:t>
            </w:r>
          </w:p>
        </w:tc>
        <w:tc>
          <w:tcPr>
            <w:tcW w:type="dxa" w:w="3178"/>
          </w:tcPr>
          <w:p>
            <w:pPr>
              <w:pStyle w:val="null3"/>
            </w:pPr>
            <w:r>
              <w:rPr/>
              <w:t>未出现视为报价供应商串标所列的情形。</w:t>
            </w:r>
          </w:p>
        </w:tc>
        <w:tc>
          <w:tcPr>
            <w:tcW w:type="dxa" w:w="4238"/>
          </w:tcPr>
          <w:p>
            <w:pPr>
              <w:pStyle w:val="null3"/>
            </w:pPr>
            <w:r>
              <w:rPr/>
              <w:t>未出现视为报价供应商串标所列的情形。</w:t>
            </w:r>
          </w:p>
        </w:tc>
      </w:tr>
      <w:tr>
        <w:tc>
          <w:tcPr>
            <w:tcW w:type="dxa" w:w="890"/>
          </w:tcPr>
          <w:p>
            <w:pPr>
              <w:pStyle w:val="null3"/>
            </w:pPr>
            <w:r>
              <w:rPr/>
              <w:t>6</w:t>
            </w:r>
          </w:p>
        </w:tc>
        <w:tc>
          <w:tcPr>
            <w:tcW w:type="dxa" w:w="3178"/>
          </w:tcPr>
          <w:p>
            <w:pPr>
              <w:pStyle w:val="null3"/>
            </w:pPr>
            <w:r>
              <w:rPr/>
              <w:t>报价文件未含有采购人不可接受的附加条件。</w:t>
            </w:r>
          </w:p>
        </w:tc>
        <w:tc>
          <w:tcPr>
            <w:tcW w:type="dxa" w:w="4238"/>
          </w:tcPr>
          <w:p>
            <w:pPr>
              <w:pStyle w:val="null3"/>
            </w:pPr>
            <w:r>
              <w:rPr/>
              <w:t>报价文件未含有采购人不可接受的附加条件。</w:t>
            </w:r>
          </w:p>
        </w:tc>
      </w:tr>
      <w:tr>
        <w:tc>
          <w:tcPr>
            <w:tcW w:type="dxa" w:w="890"/>
          </w:tcPr>
          <w:p>
            <w:pPr>
              <w:pStyle w:val="null3"/>
            </w:pPr>
            <w:r>
              <w:rPr/>
              <w:t>7</w:t>
            </w:r>
          </w:p>
        </w:tc>
        <w:tc>
          <w:tcPr>
            <w:tcW w:type="dxa" w:w="3178"/>
          </w:tcPr>
          <w:p>
            <w:pPr>
              <w:pStyle w:val="null3"/>
            </w:pPr>
            <w:r>
              <w:rPr/>
              <w:t>响应报价符合磋商文件要求。如果磋商小组认为报价人的报价明显低于其他通过符合性审查报价人的报价，有可能影响产品质量或者不能诚信履约的，将要求其在评审现场合理的时间内提供书面说明，必要时提交相关证明材料；报价人应能证明其报价合理性。（此项审查在最后报价之后）</w:t>
            </w:r>
          </w:p>
        </w:tc>
        <w:tc>
          <w:tcPr>
            <w:tcW w:type="dxa" w:w="4238"/>
          </w:tcPr>
          <w:p>
            <w:pPr>
              <w:pStyle w:val="null3"/>
            </w:pPr>
            <w:r>
              <w:rPr/>
              <w:t>响应报价符合磋商文件要求。如果磋商小组认为报价人的报价明显低于其他通过符合性审查报价人的报价，有可能影响产品质量或者不能诚信履约的，将要求其在评审现场合理的时间内提供书面说明，必要时提交相关证明材料；报价人应能证明其报价合理性。（此项审查在最后报价之后）</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采购包1(佛山市教育局信息化项目安全等级保护测评服务（2024年）):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“▲”响应程度 (23.0分)</w:t>
            </w:r>
          </w:p>
        </w:tc>
        <w:tc>
          <w:tcPr>
            <w:tcW w:type="dxa" w:w="5076"/>
          </w:tcPr>
          <w:p>
            <w:pPr>
              <w:pStyle w:val="null3"/>
              <w:jc w:val="left"/>
            </w:pPr>
            <w:r>
              <w:rPr/>
              <w:t>根据投标人的投标文件对“技术标准与要求”中带“▲”的技术条款（除“★”条款外）响应情况进行评审：（共有23个）的响应情况打分，每有一项响应无偏离或正偏离得1.0分，最多得23.0分。 注：须提供《技术和服务要求响应表》并加盖投标人公章。采购需求中要求提供相关证明材料的须按要求提供证明材料；需求中未要求提供证明材料的，须提供产品彩页或技术功能截图或检测报告或产品说明书或生产厂家出具的参数证明材料作为证明材料，不提供不得分。</w:t>
            </w:r>
          </w:p>
        </w:tc>
      </w:tr>
      <w:tr>
        <w:tc>
          <w:tcPr>
            <w:tcW w:type="dxa" w:w="922"/>
            <w:gridSpan w:val="2"/>
            <w:vMerge/>
          </w:tcPr>
          <w:p/>
        </w:tc>
        <w:tc>
          <w:tcPr>
            <w:tcW w:type="dxa" w:w="2307"/>
          </w:tcPr>
          <w:p>
            <w:pPr>
              <w:pStyle w:val="null3"/>
              <w:jc w:val="left"/>
            </w:pPr>
            <w:r>
              <w:rPr/>
              <w:t>整体方案 (8.0分)</w:t>
            </w:r>
            <w:r>
              <w:rPr/>
              <w:t>，（等次分值选择：</w:t>
            </w:r>
            <w:r>
              <w:rPr/>
              <w:t>0.0;</w:t>
            </w:r>
            <w:r>
              <w:rPr/>
              <w:t>2.0;</w:t>
            </w:r>
            <w:r>
              <w:rPr/>
              <w:t>5.0;</w:t>
            </w:r>
            <w:r>
              <w:rPr/>
              <w:t>8.0;</w:t>
            </w:r>
            <w:r>
              <w:rPr/>
              <w:t>）</w:t>
            </w:r>
          </w:p>
        </w:tc>
        <w:tc>
          <w:tcPr>
            <w:tcW w:type="dxa" w:w="5076"/>
          </w:tcPr>
          <w:p>
            <w:pPr>
              <w:pStyle w:val="null3"/>
              <w:jc w:val="left"/>
            </w:pPr>
            <w:r>
              <w:rPr/>
              <w:t>根据投标人的整体方案进行评审（包括项目目标、项目组织与实施）： 1.方案内容全面完善、细致、符合本项目的要求、切合项目实际、可操作性强的，得8.0分； 2.方案内容全面完善，可符合本项目的要求，基本切合项目实际，可操作性一般的，得5.0分； 3.方案内容基本完善，基本符合本项目的要求，但未能符合项目实际的和欠操作性的，得2.0分； 4.不提供不得分。</w:t>
            </w:r>
          </w:p>
        </w:tc>
      </w:tr>
      <w:tr>
        <w:tc>
          <w:tcPr>
            <w:tcW w:type="dxa" w:w="922"/>
            <w:gridSpan w:val="2"/>
            <w:vMerge/>
          </w:tcPr>
          <w:p/>
        </w:tc>
        <w:tc>
          <w:tcPr>
            <w:tcW w:type="dxa" w:w="2307"/>
          </w:tcPr>
          <w:p>
            <w:pPr>
              <w:pStyle w:val="null3"/>
              <w:jc w:val="left"/>
            </w:pPr>
            <w:r>
              <w:rPr/>
              <w:t>测评方案 (8.0分)</w:t>
            </w:r>
            <w:r>
              <w:rPr/>
              <w:t>，（等次分值选择：</w:t>
            </w:r>
            <w:r>
              <w:rPr/>
              <w:t>0.0;</w:t>
            </w:r>
            <w:r>
              <w:rPr/>
              <w:t>2.0;</w:t>
            </w:r>
            <w:r>
              <w:rPr/>
              <w:t>5.0;</w:t>
            </w:r>
            <w:r>
              <w:rPr/>
              <w:t>8.0;</w:t>
            </w:r>
            <w:r>
              <w:rPr/>
              <w:t>）</w:t>
            </w:r>
          </w:p>
        </w:tc>
        <w:tc>
          <w:tcPr>
            <w:tcW w:type="dxa" w:w="5076"/>
          </w:tcPr>
          <w:p>
            <w:pPr>
              <w:pStyle w:val="null3"/>
              <w:jc w:val="left"/>
            </w:pPr>
            <w:r>
              <w:rPr/>
              <w:t>根据投标人的测评方案进行评审（包括测评需求、重点难点、等级保护测评流程、工作内容和方法、服务提供方式、项目成果、安全保密及成果交付要求）： 1.方案内容全面完善、细致、符合本项目的要求、切合项目实际、可操作性强的，得8.0分； 2.方案内容全面完善，可符合本项目的要求，基本切合项目实际，可操作性一般的，得5.0分； 3.方案内容基本完善，基本符合本项目的要求，但未能符合项目实际的和欠操作性的，得2.0分； 4.不提供不得分。</w:t>
            </w:r>
          </w:p>
        </w:tc>
      </w:tr>
      <w:tr>
        <w:tc>
          <w:tcPr>
            <w:tcW w:type="dxa" w:w="922"/>
            <w:gridSpan w:val="2"/>
            <w:vMerge/>
          </w:tcPr>
          <w:p/>
        </w:tc>
        <w:tc>
          <w:tcPr>
            <w:tcW w:type="dxa" w:w="2307"/>
          </w:tcPr>
          <w:p>
            <w:pPr>
              <w:pStyle w:val="null3"/>
              <w:jc w:val="left"/>
            </w:pPr>
            <w:r>
              <w:rPr/>
              <w:t>进度计划 (7.0分)</w:t>
            </w:r>
            <w:r>
              <w:rPr/>
              <w:t>，（等次分值选择：</w:t>
            </w:r>
            <w:r>
              <w:rPr/>
              <w:t>0.0;</w:t>
            </w:r>
            <w:r>
              <w:rPr/>
              <w:t>1.0;</w:t>
            </w:r>
            <w:r>
              <w:rPr/>
              <w:t>4.0;</w:t>
            </w:r>
            <w:r>
              <w:rPr/>
              <w:t>7.0;</w:t>
            </w:r>
            <w:r>
              <w:rPr/>
              <w:t>）</w:t>
            </w:r>
          </w:p>
        </w:tc>
        <w:tc>
          <w:tcPr>
            <w:tcW w:type="dxa" w:w="5076"/>
          </w:tcPr>
          <w:p>
            <w:pPr>
              <w:pStyle w:val="null3"/>
              <w:jc w:val="left"/>
            </w:pPr>
            <w:r>
              <w:rPr/>
              <w:t>根据投标人的进度计划进行评审（包括定级备案进度计划、协助自查进度计划、协助整改的进度计划、等保测评实施进度计划）： 1.方案内容全面完善、细致、符合本项目的要求、切合项目实际、可操作性强的，得7.0分； 2.方案内容全面完善，可符合本项目的要求，基本切合项目实际，可操作性一般的，得4.0分； 3.方案内容基本完善，基本符合本项目的要求，但未能符合项目实际的和欠操作性的，得1.0分； 4.不提供不得分。</w:t>
            </w:r>
          </w:p>
        </w:tc>
      </w:tr>
      <w:tr>
        <w:tc>
          <w:tcPr>
            <w:tcW w:type="dxa" w:w="922"/>
            <w:gridSpan w:val="2"/>
            <w:vMerge/>
          </w:tcPr>
          <w:p/>
        </w:tc>
        <w:tc>
          <w:tcPr>
            <w:tcW w:type="dxa" w:w="2307"/>
          </w:tcPr>
          <w:p>
            <w:pPr>
              <w:pStyle w:val="null3"/>
              <w:jc w:val="left"/>
            </w:pPr>
            <w:r>
              <w:rPr/>
              <w:t>服务质量保证方案 (7.0分)</w:t>
            </w:r>
            <w:r>
              <w:rPr/>
              <w:t>，（等次分值选择：</w:t>
            </w:r>
            <w:r>
              <w:rPr/>
              <w:t>0.0;</w:t>
            </w:r>
            <w:r>
              <w:rPr/>
              <w:t>1.0;</w:t>
            </w:r>
            <w:r>
              <w:rPr/>
              <w:t>4.0;</w:t>
            </w:r>
            <w:r>
              <w:rPr/>
              <w:t>7.0;</w:t>
            </w:r>
            <w:r>
              <w:rPr/>
              <w:t>）</w:t>
            </w:r>
          </w:p>
        </w:tc>
        <w:tc>
          <w:tcPr>
            <w:tcW w:type="dxa" w:w="5076"/>
          </w:tcPr>
          <w:p>
            <w:pPr>
              <w:pStyle w:val="null3"/>
              <w:jc w:val="left"/>
            </w:pPr>
            <w:r>
              <w:rPr/>
              <w:t>根据投标人的服务质量保证方案进行评审（包括质量控制管理、变更控制管理、质量保证措施、保密控制管理）： 1.方案内容全面完善、细致、符合本项目的要求、切合项目实际、可操作性强的，得7.0分； 2.方案内容全面完善，可符合本项目的要求，基本切合项目实际，可操作性一般的，得4.0分； 3.方案内容基本完善，基本符合本项目的要求，但未能符合项目实际的和欠操作性的，得1.0分； 4.不提供不得分。</w:t>
            </w:r>
          </w:p>
        </w:tc>
      </w:tr>
      <w:tr>
        <w:tc>
          <w:tcPr>
            <w:tcW w:type="dxa" w:w="922"/>
            <w:gridSpan w:val="2"/>
            <w:vMerge/>
          </w:tcPr>
          <w:p/>
        </w:tc>
        <w:tc>
          <w:tcPr>
            <w:tcW w:type="dxa" w:w="2307"/>
          </w:tcPr>
          <w:p>
            <w:pPr>
              <w:pStyle w:val="null3"/>
              <w:jc w:val="left"/>
            </w:pPr>
            <w:r>
              <w:rPr/>
              <w:t>应急处置方案 (7.0分)</w:t>
            </w:r>
            <w:r>
              <w:rPr/>
              <w:t>，（等次分值选择：</w:t>
            </w:r>
            <w:r>
              <w:rPr/>
              <w:t>0.0;</w:t>
            </w:r>
            <w:r>
              <w:rPr/>
              <w:t>1.0;</w:t>
            </w:r>
            <w:r>
              <w:rPr/>
              <w:t>4.0;</w:t>
            </w:r>
            <w:r>
              <w:rPr/>
              <w:t>7.0;</w:t>
            </w:r>
            <w:r>
              <w:rPr/>
              <w:t>）</w:t>
            </w:r>
          </w:p>
        </w:tc>
        <w:tc>
          <w:tcPr>
            <w:tcW w:type="dxa" w:w="5076"/>
          </w:tcPr>
          <w:p>
            <w:pPr>
              <w:pStyle w:val="null3"/>
              <w:jc w:val="left"/>
            </w:pPr>
            <w:r>
              <w:rPr/>
              <w:t>根据投标人的应急处置方案进行评审（包括要求各种突发事件的响应时间、应急流程及措施合理规范、应急管理制度完善、应急人员配备齐全等）： 1.方案内容全面完善、细致、符合本项目的要求、切合项目实际、可操作性强的，得7.0分； 2.方案内容全面完善，可符合本项目的要求，基本切合项目实际，可操作性一般的，得4.0分； 3.方案内容基本完善，基本符合本项目的要求，但未能符合项目实际的和欠操作性的，得1.0分；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(6.0分)</w:t>
            </w:r>
          </w:p>
        </w:tc>
        <w:tc>
          <w:tcPr>
            <w:tcW w:type="dxa" w:w="5076"/>
          </w:tcPr>
          <w:p>
            <w:pPr>
              <w:pStyle w:val="null3"/>
              <w:jc w:val="left"/>
            </w:pPr>
            <w:r>
              <w:rPr/>
              <w:t>投标人获得以下有效的证书的： 1.质量管理体系认证证书的，得1.5分； 2.环境管理体系认证证书的，得1.5分； 3.职业健康安全管理体系认证证书的，得1.5分； 4.隐私信息管理体系认证的，得1.5分。 注：本项最高得6.0分。投标人提供上述在有效期内的认证证书扫描件及“全国认证认可信息公共服务平台（http://cx.cnca.cn）”上查询到的状态为“有效”的官网截图打印件，方可得分，上述证明材料复印件加盖投标人公章。（查询结果证书状态为撤销、暂停、失效的不得分）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投标人自2021年1月1日（以合同签订时间为准）至投标截止时间为止承担信息系统等级保护测评项目的，每提供一份得1.0分，最高得6.0分。 注：须提供合同关键页扫描件（含签订合同双方的单位名称、合同项目名称和含签订合同双方的落款盖章、签订日期的关键页）作为证明材料并加盖投标人公章，不提供不得分。</w:t>
            </w:r>
          </w:p>
        </w:tc>
      </w:tr>
      <w:tr>
        <w:tc>
          <w:tcPr>
            <w:tcW w:type="dxa" w:w="922"/>
            <w:gridSpan w:val="2"/>
            <w:vMerge/>
          </w:tcPr>
          <w:p/>
        </w:tc>
        <w:tc>
          <w:tcPr>
            <w:tcW w:type="dxa" w:w="2307"/>
          </w:tcPr>
          <w:p>
            <w:pPr>
              <w:pStyle w:val="null3"/>
              <w:jc w:val="left"/>
            </w:pPr>
            <w:r>
              <w:rPr/>
              <w:t>项目经理 (4.5分)</w:t>
            </w:r>
          </w:p>
        </w:tc>
        <w:tc>
          <w:tcPr>
            <w:tcW w:type="dxa" w:w="5076"/>
          </w:tcPr>
          <w:p>
            <w:pPr>
              <w:pStyle w:val="null3"/>
              <w:jc w:val="left"/>
            </w:pPr>
            <w:r>
              <w:rPr/>
              <w:t>投标人拟投入项目经理（1人）具备的专业能力进行评分： （1）高级网络安全等级测评师证书，得1.5分，中级网络安全等级测评师证书的，得1分，本子项最高得1.5分。 （2）软件测评工程师，得1.0分； （3）注册信息安全工程师（CISE），得1.0分； （4）信息安全工程师，得1.0分。 注：本项最高得4.5分。须同时提供相关证书扫描件及投标文件提交截止前6个月内任意一个月(扣除发布招标公告当月往前顺推)在投标人为其缴纳社保证明等证明文件扫描件。</w:t>
            </w:r>
          </w:p>
        </w:tc>
      </w:tr>
      <w:tr>
        <w:tc>
          <w:tcPr>
            <w:tcW w:type="dxa" w:w="922"/>
            <w:gridSpan w:val="2"/>
            <w:vMerge/>
          </w:tcPr>
          <w:p/>
        </w:tc>
        <w:tc>
          <w:tcPr>
            <w:tcW w:type="dxa" w:w="2307"/>
          </w:tcPr>
          <w:p>
            <w:pPr>
              <w:pStyle w:val="null3"/>
              <w:jc w:val="left"/>
            </w:pPr>
            <w:r>
              <w:rPr/>
              <w:t>项目团队 (13.5分)</w:t>
            </w:r>
          </w:p>
        </w:tc>
        <w:tc>
          <w:tcPr>
            <w:tcW w:type="dxa" w:w="5076"/>
          </w:tcPr>
          <w:p>
            <w:pPr>
              <w:pStyle w:val="null3"/>
              <w:jc w:val="left"/>
            </w:pPr>
            <w:r>
              <w:rPr/>
              <w:t>投标人拟投入项目团队成员（项目经理除外）具有以下有效证书的： （1）具有高级网络安全等级测评师证书的，每提供高级1人得1.5分，中级网络安全等级测评师证书的，每提供1人得1分，本子项最高得3分； （2）注册渗透测试工程师每提供1人得1分，本子项最高得3分； （3）信息系统项目管理师每提供1人得1.5分，本子项最高得3分； （4）软件评测师每提供1人得1分，本子项最高得2分 （5）网络工程师证书每提供1人得1分，本子项最高得1分； （6）系统集成项目管理工程师每提供1人得1分，本子项最高得1分； （7）信息处理技术员每提供1人得0.5分，本子项最高得0.5分。 注：本项最高得13.5分。须同时提供相关证书扫描件及投标文件提交截止前6个月内任意一个月(扣除发布招标公告当月往前顺推)在投标人为其缴纳社保证明等证明文件扫描件，职称以最高级别计算得分，同一人具有多个证书的不重复计算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按照技术指标优劣顺序推荐。排名第一的响应供应商为第一成交候选人，排名第二的响应供应商为第二成交候选人，排名第三的响应供应商为第三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b/>
        </w:rPr>
        <w:t>佛山市政府采购项目</w:t>
      </w:r>
    </w:p>
    <w:p>
      <w:pPr>
        <w:pStyle w:val="null3"/>
        <w:jc w:val="both"/>
      </w:pPr>
      <w:r>
        <w:rPr/>
        <w:t xml:space="preserve"> </w:t>
      </w:r>
    </w:p>
    <w:p>
      <w:pPr>
        <w:pStyle w:val="null3"/>
        <w:jc w:val="center"/>
      </w:pPr>
      <w:r>
        <w:rPr/>
        <w:t xml:space="preserve"> </w:t>
      </w:r>
    </w:p>
    <w:p>
      <w:pPr>
        <w:pStyle w:val="null3"/>
        <w:jc w:val="center"/>
      </w:pPr>
      <w:r>
        <w:rPr/>
        <w:t xml:space="preserve"> </w:t>
      </w:r>
    </w:p>
    <w:p>
      <w:pPr>
        <w:pStyle w:val="null3"/>
        <w:jc w:val="center"/>
      </w:pPr>
      <w:r>
        <w:rPr>
          <w:sz w:val="68"/>
          <w:b/>
        </w:rPr>
        <w:t>合同书</w:t>
      </w:r>
    </w:p>
    <w:p>
      <w:pPr>
        <w:pStyle w:val="null3"/>
        <w:jc w:val="both"/>
      </w:pPr>
      <w:r>
        <w:rPr/>
        <w:t xml:space="preserve"> </w:t>
      </w:r>
    </w:p>
    <w:p>
      <w:pPr>
        <w:pStyle w:val="null3"/>
        <w:ind w:firstLine="2409"/>
        <w:jc w:val="both"/>
      </w:pPr>
      <w:r>
        <w:rPr/>
        <w:t xml:space="preserve"> </w:t>
      </w:r>
    </w:p>
    <w:p>
      <w:pPr>
        <w:pStyle w:val="null3"/>
        <w:ind w:firstLine="2409"/>
        <w:jc w:val="both"/>
      </w:pPr>
      <w:r>
        <w:rPr/>
        <w:t xml:space="preserve"> </w:t>
      </w:r>
    </w:p>
    <w:p>
      <w:pPr>
        <w:pStyle w:val="null3"/>
        <w:ind w:firstLine="2409"/>
        <w:jc w:val="both"/>
      </w:pPr>
      <w:r>
        <w:rPr/>
        <w:t xml:space="preserve"> </w:t>
      </w:r>
    </w:p>
    <w:p>
      <w:pPr>
        <w:pStyle w:val="null3"/>
        <w:jc w:val="both"/>
      </w:pPr>
      <w:r>
        <w:rPr>
          <w:sz w:val="24"/>
          <w:b/>
          <w:color w:val="000000"/>
        </w:rPr>
        <w:t>项目编号：</w:t>
      </w:r>
      <w:r>
        <w:rPr>
          <w:sz w:val="21"/>
          <w:b/>
        </w:rPr>
        <w:t>GDZC-24JC158</w:t>
      </w:r>
    </w:p>
    <w:p>
      <w:pPr>
        <w:pStyle w:val="null3"/>
        <w:jc w:val="both"/>
      </w:pPr>
      <w:r>
        <w:rPr>
          <w:sz w:val="24"/>
          <w:b/>
          <w:color w:val="000000"/>
        </w:rPr>
        <w:t>项目名称：</w:t>
      </w:r>
      <w:r>
        <w:rPr>
          <w:sz w:val="21"/>
          <w:b/>
        </w:rPr>
        <w:t>佛山市教育局信息化项目安全等级保护测评服务（</w:t>
      </w:r>
      <w:r>
        <w:rPr>
          <w:sz w:val="21"/>
          <w:b/>
        </w:rPr>
        <w:t>2024年）项目</w:t>
      </w:r>
    </w:p>
    <w:p>
      <w:pPr>
        <w:pStyle w:val="null3"/>
        <w:ind w:firstLine="2409"/>
        <w:jc w:val="both"/>
      </w:pPr>
      <w:r>
        <w:rPr/>
        <w:t xml:space="preserve"> </w:t>
      </w:r>
    </w:p>
    <w:p>
      <w:pPr>
        <w:pStyle w:val="null3"/>
        <w:ind w:firstLine="2409"/>
        <w:jc w:val="both"/>
      </w:pPr>
      <w:r>
        <w:rPr/>
        <w:t xml:space="preserve"> </w:t>
      </w:r>
    </w:p>
    <w:p>
      <w:pPr>
        <w:pStyle w:val="null3"/>
        <w:ind w:firstLine="2409"/>
        <w:jc w:val="both"/>
      </w:pPr>
      <w:r>
        <w:rPr/>
        <w:t xml:space="preserve"> </w:t>
      </w:r>
    </w:p>
    <w:p>
      <w:pPr>
        <w:pStyle w:val="null3"/>
        <w:ind w:firstLine="2409"/>
        <w:jc w:val="both"/>
      </w:pPr>
      <w:r>
        <w:rPr/>
        <w:t xml:space="preserve"> </w:t>
      </w:r>
    </w:p>
    <w:p>
      <w:pPr>
        <w:pStyle w:val="null3"/>
        <w:ind w:firstLine="2409"/>
        <w:jc w:val="both"/>
      </w:pPr>
      <w:r>
        <w:rPr/>
        <w:t xml:space="preserve"> </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2283"/>
        <w:gridCol w:w="6023"/>
      </w:tblGrid>
      <w:tr>
        <w:tc>
          <w:tcPr>
            <w:tcW w:type="dxa" w:w="2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w:t>
            </w:r>
            <w:r>
              <w:rPr>
                <w:sz w:val="24"/>
              </w:rPr>
              <w:t xml:space="preserve">    </w:t>
            </w:r>
            <w:r>
              <w:rPr>
                <w:sz w:val="24"/>
              </w:rPr>
              <w:t>方：</w:t>
            </w:r>
          </w:p>
        </w:tc>
        <w:tc>
          <w:tcPr>
            <w:tcW w:type="dxa" w:w="60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佛山市教育局</w:t>
            </w:r>
          </w:p>
        </w:tc>
      </w:tr>
      <w:tr>
        <w:tc>
          <w:tcPr>
            <w:tcW w:type="dxa" w:w="2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乙</w:t>
            </w:r>
            <w:r>
              <w:rPr>
                <w:sz w:val="24"/>
              </w:rPr>
              <w:t xml:space="preserve">    </w:t>
            </w:r>
            <w:r>
              <w:rPr>
                <w:sz w:val="24"/>
              </w:rPr>
              <w:t>方：</w:t>
            </w:r>
          </w:p>
        </w:tc>
        <w:tc>
          <w:tcPr>
            <w:tcW w:type="dxa" w:w="6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（中标</w:t>
            </w:r>
            <w:r>
              <w:rPr>
                <w:sz w:val="24"/>
                <w:u w:val="single"/>
              </w:rPr>
              <w:t>/</w:t>
            </w:r>
            <w:r>
              <w:rPr>
                <w:sz w:val="24"/>
                <w:u w:val="single"/>
              </w:rPr>
              <w:t>成交供应商名称）</w:t>
            </w:r>
          </w:p>
        </w:tc>
      </w:tr>
      <w:tr>
        <w:tc>
          <w:tcPr>
            <w:tcW w:type="dxa" w:w="2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签订日期：</w:t>
            </w:r>
          </w:p>
        </w:tc>
        <w:tc>
          <w:tcPr>
            <w:tcW w:type="dxa" w:w="6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日</w:t>
            </w:r>
            <w:r>
              <w:rPr>
                <w:sz w:val="24"/>
                <w:u w:val="single"/>
              </w:rPr>
              <w:t xml:space="preserve">      </w:t>
            </w:r>
          </w:p>
        </w:tc>
      </w:tr>
    </w:tbl>
    <w:p>
      <w:pPr>
        <w:pStyle w:val="null3"/>
        <w:jc w:val="both"/>
      </w:pPr>
      <w:r>
        <w:rPr>
          <w:sz w:val="24"/>
          <w:i/>
        </w:rPr>
        <w:t>注：本合同仅为合同的参考文本，可根据项目的具体要求进行修订。</w:t>
      </w:r>
    </w:p>
    <w:p>
      <w:pPr>
        <w:pStyle w:val="null3"/>
        <w:jc w:val="both"/>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44"/>
          <w:b/>
        </w:rPr>
        <w:t>佛山市政府采购项目合同书</w:t>
      </w:r>
    </w:p>
    <w:p>
      <w:pPr>
        <w:pStyle w:val="null3"/>
        <w:jc w:val="both"/>
      </w:pPr>
      <w:r>
        <w:rPr>
          <w:sz w:val="21"/>
          <w:b/>
        </w:rPr>
        <w:t>项目名称</w:t>
      </w:r>
      <w:r>
        <w:rPr>
          <w:sz w:val="21"/>
          <w:b/>
        </w:rPr>
        <w:t>：</w:t>
      </w:r>
      <w:r>
        <w:rPr>
          <w:sz w:val="21"/>
          <w:u w:val="single"/>
        </w:rPr>
        <w:t>佛山市教育局信息化项目安全等级保护测评服务（</w:t>
      </w:r>
      <w:r>
        <w:rPr>
          <w:sz w:val="21"/>
          <w:u w:val="single"/>
        </w:rPr>
        <w:t>2024年）项目</w:t>
      </w:r>
    </w:p>
    <w:p>
      <w:pPr>
        <w:pStyle w:val="null3"/>
        <w:jc w:val="both"/>
      </w:pPr>
      <w:r>
        <w:rPr>
          <w:sz w:val="21"/>
          <w:b/>
        </w:rPr>
        <w:t>项目编号：</w:t>
      </w:r>
      <w:r>
        <w:rPr>
          <w:sz w:val="21"/>
          <w:u w:val="single"/>
        </w:rPr>
        <w:t>GDZC-24JC158</w:t>
      </w:r>
    </w:p>
    <w:p>
      <w:pPr>
        <w:pStyle w:val="null3"/>
        <w:jc w:val="both"/>
      </w:pPr>
      <w:r>
        <w:rPr>
          <w:sz w:val="21"/>
          <w:b/>
        </w:rPr>
        <w:t>甲</w:t>
      </w:r>
      <w:r>
        <w:rPr>
          <w:sz w:val="21"/>
          <w:b/>
        </w:rPr>
        <w:t xml:space="preserve">    </w:t>
      </w:r>
      <w:r>
        <w:rPr>
          <w:sz w:val="21"/>
          <w:b/>
        </w:rPr>
        <w:t>方：</w:t>
      </w:r>
      <w:r>
        <w:rPr>
          <w:sz w:val="21"/>
          <w:u w:val="single"/>
        </w:rPr>
        <w:t>佛山市教育局</w:t>
      </w:r>
    </w:p>
    <w:p>
      <w:pPr>
        <w:pStyle w:val="null3"/>
        <w:jc w:val="both"/>
      </w:pPr>
      <w:r>
        <w:rPr>
          <w:sz w:val="21"/>
          <w:b/>
        </w:rPr>
        <w:t>乙</w:t>
      </w:r>
      <w:r>
        <w:rPr>
          <w:sz w:val="21"/>
          <w:b/>
        </w:rPr>
        <w:t xml:space="preserve">    </w:t>
      </w:r>
      <w:r>
        <w:rPr>
          <w:sz w:val="21"/>
          <w:b/>
        </w:rPr>
        <w:t>方：</w:t>
      </w:r>
      <w:r>
        <w:rPr>
          <w:sz w:val="21"/>
          <w:u w:val="single"/>
        </w:rPr>
        <w:t>（中标</w:t>
      </w:r>
      <w:r>
        <w:rPr>
          <w:sz w:val="21"/>
          <w:u w:val="single"/>
        </w:rPr>
        <w:t>/</w:t>
      </w:r>
      <w:r>
        <w:rPr>
          <w:sz w:val="21"/>
          <w:u w:val="single"/>
        </w:rPr>
        <w:t>成交供应商名称</w:t>
      </w:r>
      <w:r>
        <w:rPr>
          <w:sz w:val="21"/>
          <w:u w:val="single"/>
        </w:rPr>
        <w:t>）</w:t>
      </w:r>
      <w:r>
        <w:rPr>
          <w:sz w:val="21"/>
          <w:u w:val="single"/>
        </w:rPr>
        <w:t xml:space="preserve">                                 </w:t>
      </w:r>
    </w:p>
    <w:p>
      <w:pPr>
        <w:pStyle w:val="null3"/>
        <w:jc w:val="both"/>
      </w:pPr>
      <w:r>
        <w:rPr>
          <w:sz w:val="21"/>
          <w:b/>
          <w:color w:val="000000"/>
        </w:rPr>
        <w:t>合同性质：</w:t>
      </w:r>
      <w:r>
        <w:rPr>
          <w:sz w:val="21"/>
          <w:color w:val="000000"/>
          <w:u w:val="single"/>
        </w:rPr>
        <w:t>本合同为中小企业预留合同</w:t>
      </w:r>
      <w:r>
        <w:rPr>
          <w:u w:val="single"/>
        </w:rPr>
        <w:t xml:space="preserve">                          </w:t>
      </w:r>
    </w:p>
    <w:p>
      <w:pPr>
        <w:pStyle w:val="null3"/>
        <w:ind w:firstLine="420"/>
        <w:jc w:val="both"/>
      </w:pPr>
      <w:r>
        <w:rPr>
          <w:sz w:val="21"/>
        </w:rPr>
        <w:t>根据《中华人民共和国政府采购法》《中华人民共和国民法典》和本项目采购文件的要求，经双方协商，本着平等互利和诚实信用的原则，一致同意签订本合同如下。</w:t>
      </w:r>
    </w:p>
    <w:p>
      <w:pPr>
        <w:pStyle w:val="null3"/>
        <w:jc w:val="both"/>
      </w:pPr>
      <w:r>
        <w:rPr>
          <w:sz w:val="21"/>
          <w:b/>
        </w:rPr>
        <w:t>一、项目主要内容及实现功能目标</w:t>
      </w:r>
    </w:p>
    <w:p>
      <w:pPr>
        <w:pStyle w:val="null3"/>
        <w:ind w:firstLine="480"/>
        <w:jc w:val="both"/>
      </w:pPr>
      <w:r>
        <w:rPr>
          <w:sz w:val="21"/>
          <w:b/>
        </w:rPr>
        <w:t>（一）项目概况</w:t>
      </w:r>
    </w:p>
    <w:p>
      <w:pPr>
        <w:pStyle w:val="null3"/>
        <w:ind w:firstLine="480"/>
        <w:jc w:val="both"/>
      </w:pPr>
      <w:r>
        <w:rPr>
          <w:sz w:val="21"/>
        </w:rPr>
        <w:t>本项目服务对象为佛山市教育局</w:t>
      </w:r>
      <w:r>
        <w:rPr>
          <w:sz w:val="21"/>
        </w:rPr>
        <w:t>19个信息系统，项目服务须符合国家等级保护2.0相关标准。</w:t>
      </w:r>
    </w:p>
    <w:p>
      <w:pPr>
        <w:pStyle w:val="null3"/>
        <w:ind w:firstLine="480"/>
        <w:jc w:val="both"/>
      </w:pPr>
      <w:r>
        <w:rPr>
          <w:sz w:val="21"/>
        </w:rPr>
        <w:t>19个信息系统分别为1、佛山市教育局内部控制财务档案系统；2、佛山市义务教育民办学校招生信息管理与数据共享平台；3、佛山市幼儿园保教质量监测管理平台；4、佛山市教育设施规划审查信息系统；5、佛山市教师发展中心信息化应用系统；6、佛山市普通高中和初中学业水平考试系统；7、佛山市中考信息管理系统；8、佛山市中考智能阅卷业务系统；9、佛山市中小学校际图书馆信息管理系统；10、佛山市教育装备管理应用与综合分析系统；11、佛山市初中实验操作考试信息管理系统；12、佛山市中小学作业管理系统；13、佛山市智慧云教研一体化服务平台；14、佛山市名师微课支撑管理平台；15、佛山市中小学人工智能素养成长平台；16、基于信-创体系的信息化应用课题智控平台（佛山市师生科研能力成长之家）；17、佛山市教育数据银行管理系统；18、佛山市教育资源公共服务平台；19、广东高校科技成果转化线上服务平台</w:t>
      </w:r>
      <w:r>
        <w:rPr>
          <w:sz w:val="21"/>
        </w:rPr>
        <w:t>。</w:t>
      </w:r>
    </w:p>
    <w:p>
      <w:pPr>
        <w:pStyle w:val="null3"/>
        <w:ind w:firstLine="480"/>
        <w:jc w:val="both"/>
      </w:pPr>
      <w:r>
        <w:rPr>
          <w:sz w:val="21"/>
          <w:b/>
        </w:rPr>
        <w:t>（二）上线前安全测评（以下文件规定如有最新，按最新的执行）：</w:t>
      </w:r>
    </w:p>
    <w:p>
      <w:pPr>
        <w:pStyle w:val="null3"/>
        <w:ind w:firstLine="480"/>
        <w:jc w:val="both"/>
      </w:pPr>
      <w:r>
        <w:rPr>
          <w:sz w:val="21"/>
        </w:rPr>
        <w:t>依据《中华人民共和国网络安全法》、《关于加强党政机关网站安全管理的通知》（中网办发文〔</w:t>
      </w:r>
      <w:r>
        <w:rPr>
          <w:sz w:val="21"/>
        </w:rPr>
        <w:t>2014〕1号）、《信息安全技术—网络安全等级保护基本要求》（GB/T 22239-2019）、《信息安全技术—网络安全等级保护测评要求》（GB/T 28448-2019）等标准和有关规定及要求，对甲方新上线的信息系统进行网络安全等级测评，评估其安全状况，提出合规性整改建议，提供评估报告。</w:t>
      </w:r>
    </w:p>
    <w:p>
      <w:pPr>
        <w:pStyle w:val="null3"/>
        <w:ind w:firstLine="480"/>
        <w:jc w:val="both"/>
      </w:pPr>
      <w:r>
        <w:rPr>
          <w:sz w:val="21"/>
          <w:b/>
        </w:rPr>
        <w:t>（三）等保测评</w:t>
      </w:r>
    </w:p>
    <w:p>
      <w:pPr>
        <w:pStyle w:val="null3"/>
        <w:ind w:firstLine="480"/>
        <w:jc w:val="both"/>
      </w:pPr>
      <w:r>
        <w:rPr>
          <w:sz w:val="21"/>
        </w:rPr>
        <w:t>1、协助开展信息系统的定级备案工作，编写系统定级备案材料，获取公安部门颁发的备案证书；</w:t>
      </w:r>
    </w:p>
    <w:p>
      <w:pPr>
        <w:pStyle w:val="null3"/>
        <w:ind w:firstLine="480"/>
        <w:jc w:val="both"/>
      </w:pPr>
      <w:r>
        <w:rPr>
          <w:sz w:val="21"/>
        </w:rPr>
        <w:t>2、针对服务对象开展安全漏洞检测和差距测评，根据差距测评结果，给出针对性的整改建议；</w:t>
      </w:r>
    </w:p>
    <w:p>
      <w:pPr>
        <w:pStyle w:val="null3"/>
        <w:ind w:firstLine="480"/>
        <w:jc w:val="both"/>
      </w:pPr>
      <w:r>
        <w:rPr>
          <w:sz w:val="21"/>
        </w:rPr>
        <w:t>3、针对甲方受测信息系统的安全整改提供技术支持咨询工作；</w:t>
      </w:r>
    </w:p>
    <w:p>
      <w:pPr>
        <w:pStyle w:val="null3"/>
        <w:ind w:firstLine="480"/>
        <w:jc w:val="both"/>
      </w:pPr>
      <w:r>
        <w:rPr>
          <w:sz w:val="21"/>
        </w:rPr>
        <w:t>4、开展信息系统验收测评工作，出具《网络安全等级测评报告》；</w:t>
      </w:r>
    </w:p>
    <w:p>
      <w:pPr>
        <w:pStyle w:val="null3"/>
        <w:ind w:firstLine="480"/>
        <w:jc w:val="both"/>
      </w:pPr>
      <w:r>
        <w:rPr>
          <w:sz w:val="21"/>
        </w:rPr>
        <w:t>5、负责提交《网络安全等级测评报告》至公安部门审核，取得报告接收回执；</w:t>
      </w:r>
    </w:p>
    <w:p>
      <w:pPr>
        <w:pStyle w:val="null3"/>
        <w:ind w:firstLine="480"/>
        <w:jc w:val="both"/>
      </w:pPr>
      <w:r>
        <w:rPr>
          <w:sz w:val="21"/>
        </w:rPr>
        <w:t>6、协助组织召开网络安全等级保护定级评审会，协助定级评审专家邀请和专家评审费用及评审会议所有费用支出。</w:t>
      </w:r>
    </w:p>
    <w:p>
      <w:pPr>
        <w:pStyle w:val="null3"/>
        <w:ind w:firstLine="480"/>
        <w:jc w:val="both"/>
      </w:pPr>
      <w:r>
        <w:rPr>
          <w:sz w:val="21"/>
        </w:rPr>
        <w:t>7、项目实施期间，指派1名工程师提供现场服务，实施过程中接受甲方安排管理，入场前签署保密协议，按甲方要求时间开展工作，工程师现场做好项目的跟进、协调、整改咨询、进度汇报等事宜，且每周提供项目工作周报。</w:t>
      </w:r>
    </w:p>
    <w:p>
      <w:pPr>
        <w:pStyle w:val="null3"/>
        <w:ind w:firstLine="480"/>
        <w:jc w:val="both"/>
      </w:pPr>
      <w:r>
        <w:rPr>
          <w:sz w:val="21"/>
        </w:rPr>
        <w:t>8、协助做好信息系统备案工作，如有变更，协助相关相当备案变更手续办理。</w:t>
      </w:r>
    </w:p>
    <w:p>
      <w:pPr>
        <w:pStyle w:val="null3"/>
        <w:ind w:firstLine="480"/>
        <w:jc w:val="both"/>
      </w:pPr>
      <w:r>
        <w:rPr>
          <w:sz w:val="21"/>
          <w:b/>
        </w:rPr>
        <w:t>（四）培训服务</w:t>
      </w:r>
    </w:p>
    <w:p>
      <w:pPr>
        <w:pStyle w:val="null3"/>
        <w:ind w:firstLine="480"/>
        <w:jc w:val="both"/>
      </w:pPr>
      <w:r>
        <w:rPr>
          <w:sz w:val="21"/>
        </w:rPr>
        <w:t>乙方需针对每个被测评的信息系统，为该系统的使用责任人提供</w:t>
      </w:r>
      <w:r>
        <w:rPr>
          <w:sz w:val="21"/>
        </w:rPr>
        <w:t>1次线下培训，在培训过程中专业讲解对应的信息化系统在测评时发现的问题情况及提供整改和解决思路、措施和策略。</w:t>
      </w:r>
    </w:p>
    <w:p>
      <w:pPr>
        <w:pStyle w:val="null3"/>
        <w:ind w:firstLine="480"/>
        <w:jc w:val="both"/>
      </w:pPr>
      <w:r>
        <w:rPr>
          <w:sz w:val="21"/>
          <w:b/>
        </w:rPr>
        <w:t>（五）过程服务</w:t>
      </w:r>
    </w:p>
    <w:p>
      <w:pPr>
        <w:pStyle w:val="null3"/>
        <w:ind w:firstLine="480"/>
        <w:jc w:val="both"/>
      </w:pPr>
      <w:r>
        <w:rPr>
          <w:sz w:val="21"/>
        </w:rPr>
        <w:t>乙方在甲方等保整改过程中，需提供免费咨询、顾问指导服务，以协助甲方在规定时间内完成等保整改。如甲方有需要，乙方需提供整改咨询会议。</w:t>
      </w:r>
    </w:p>
    <w:p>
      <w:pPr>
        <w:pStyle w:val="null3"/>
        <w:ind w:firstLine="480"/>
        <w:jc w:val="both"/>
      </w:pPr>
      <w:r>
        <w:rPr>
          <w:sz w:val="21"/>
          <w:b/>
        </w:rPr>
        <w:t>（六）项目实施依据</w:t>
      </w:r>
    </w:p>
    <w:p>
      <w:pPr>
        <w:pStyle w:val="null3"/>
        <w:ind w:firstLine="480"/>
        <w:jc w:val="both"/>
      </w:pPr>
      <w:r>
        <w:rPr>
          <w:sz w:val="21"/>
        </w:rPr>
        <w:t>乙方应依据国家相关政策标准开展工作，依据标准包括但不限于如下国家法律法规及政策标准：</w:t>
      </w:r>
    </w:p>
    <w:p>
      <w:pPr>
        <w:pStyle w:val="null3"/>
        <w:ind w:firstLine="480"/>
        <w:jc w:val="both"/>
      </w:pPr>
      <w:r>
        <w:rPr>
          <w:sz w:val="21"/>
        </w:rPr>
        <w:t>1、《中华人民共和国网络安全法》</w:t>
      </w:r>
    </w:p>
    <w:p>
      <w:pPr>
        <w:pStyle w:val="null3"/>
        <w:ind w:firstLine="480"/>
        <w:jc w:val="both"/>
      </w:pPr>
      <w:r>
        <w:rPr>
          <w:sz w:val="21"/>
        </w:rPr>
        <w:t>2、《中华人民共和国计算机信息系统安全保护条例》(国务院 147 号令)</w:t>
      </w:r>
    </w:p>
    <w:p>
      <w:pPr>
        <w:pStyle w:val="null3"/>
        <w:ind w:firstLine="480"/>
        <w:jc w:val="both"/>
      </w:pPr>
      <w:r>
        <w:rPr>
          <w:sz w:val="21"/>
        </w:rPr>
        <w:t>3、《信息安全等级保护管理办法》</w:t>
      </w:r>
    </w:p>
    <w:p>
      <w:pPr>
        <w:pStyle w:val="null3"/>
        <w:ind w:firstLine="480"/>
        <w:jc w:val="both"/>
      </w:pPr>
      <w:r>
        <w:rPr>
          <w:sz w:val="21"/>
        </w:rPr>
        <w:t>4、《信息安全技术-网络安全等级保护基本要求》（GB/T22239-2019）</w:t>
      </w:r>
    </w:p>
    <w:p>
      <w:pPr>
        <w:pStyle w:val="null3"/>
        <w:ind w:firstLine="480"/>
        <w:jc w:val="both"/>
      </w:pPr>
      <w:r>
        <w:rPr>
          <w:sz w:val="21"/>
        </w:rPr>
        <w:t>5、《信息安全技术-网络安全等级保护测评要求》（GB/T 28448-2019）</w:t>
      </w:r>
    </w:p>
    <w:p>
      <w:pPr>
        <w:pStyle w:val="null3"/>
        <w:ind w:firstLine="480"/>
        <w:jc w:val="both"/>
      </w:pPr>
      <w:r>
        <w:rPr>
          <w:sz w:val="21"/>
        </w:rPr>
        <w:t>6、《信息安全技术-网络安全等级保护定级指南》(GB/T 22240-2020)</w:t>
      </w:r>
    </w:p>
    <w:p>
      <w:pPr>
        <w:pStyle w:val="null3"/>
        <w:ind w:firstLine="480"/>
        <w:jc w:val="both"/>
      </w:pPr>
      <w:r>
        <w:rPr>
          <w:sz w:val="21"/>
          <w:b/>
        </w:rPr>
        <w:t>（七）工具测试要求</w:t>
      </w:r>
    </w:p>
    <w:p>
      <w:pPr>
        <w:pStyle w:val="null3"/>
        <w:ind w:firstLine="480"/>
        <w:jc w:val="both"/>
      </w:pPr>
      <w:r>
        <w:rPr>
          <w:sz w:val="21"/>
        </w:rPr>
        <w:t>1、本合同在实施过程中所使用到的专业服务工具必须包含等级保护检查工具、网络边界完整性检查管理系统、网络安全事件调查处置工具箱系统、内网安全管理系统、等级保护合规检查工具箱等。</w:t>
      </w:r>
    </w:p>
    <w:p>
      <w:pPr>
        <w:pStyle w:val="null3"/>
        <w:ind w:firstLine="480"/>
        <w:jc w:val="both"/>
      </w:pPr>
      <w:r>
        <w:rPr>
          <w:sz w:val="21"/>
        </w:rPr>
        <w:t>2、本合同在实施过程中所使用到的专业安全测评项目管理工具，信息安全等级保护综合管理系统，该系统须通过公安相关部门的检测。</w:t>
      </w:r>
    </w:p>
    <w:p>
      <w:pPr>
        <w:pStyle w:val="null3"/>
        <w:ind w:firstLine="480"/>
        <w:jc w:val="both"/>
      </w:pPr>
      <w:r>
        <w:rPr>
          <w:sz w:val="21"/>
        </w:rPr>
        <w:t>3、必须保证所使用的所有工具和软件不会产生所有权和知识产权纠纷，并保证工具和软件的可用性和可靠性，由此产生的一切责任由乙方承担。根据乙方对服务工具能力要求的响应进行评审(如发现乙方出现虚假承诺，采购人可要求乙方对所提供的所有服务工具进行功能及性能演示验证，如情况属实的，采购人有权保留追究乙方的法律责任的权利，相应的违约处罚责任由乙方承担，并赔偿采购人由此所造成的一切经济损失)。</w:t>
      </w:r>
    </w:p>
    <w:p>
      <w:pPr>
        <w:pStyle w:val="null3"/>
        <w:ind w:firstLine="480"/>
        <w:jc w:val="both"/>
      </w:pPr>
      <w:r>
        <w:rPr>
          <w:sz w:val="21"/>
        </w:rPr>
        <w:t>4、本合同使用的所有服务工具和软件（包括但不限于以下等级保护检查工具、网络边界完整性检查工具、网络安全事件调查处置系统、内网安全管理系统、等级保护合规检查工具箱）无需采购人购买，均由乙方自行提供。</w:t>
      </w:r>
    </w:p>
    <w:p>
      <w:pPr>
        <w:pStyle w:val="null3"/>
        <w:ind w:firstLine="480"/>
        <w:jc w:val="both"/>
      </w:pPr>
      <w:r>
        <w:rPr>
          <w:sz w:val="21"/>
        </w:rPr>
        <w:t>5、安全服务工具测试完成后，对结果进行人工比对，乙方必须同时具备下列工具要求：</w:t>
      </w:r>
    </w:p>
    <w:tbl>
      <w:tblPr>
        <w:tblW w:w="0" w:type="auto"/>
        <w:tblBorders>
          <w:top w:val="none" w:color="000000" w:sz="4"/>
          <w:left w:val="none" w:color="000000" w:sz="4"/>
          <w:bottom w:val="none" w:color="000000" w:sz="4"/>
          <w:right w:val="none" w:color="000000" w:sz="4"/>
          <w:insideH w:val="none"/>
          <w:insideV w:val="none"/>
        </w:tblBorders>
      </w:tblPr>
      <w:tblGrid>
        <w:gridCol w:w="1340"/>
        <w:gridCol w:w="6966"/>
      </w:tblGrid>
      <w:tr>
        <w:tc>
          <w:tcPr>
            <w:tcW w:type="dxa" w:w="1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工具名称</w:t>
            </w:r>
          </w:p>
        </w:tc>
        <w:tc>
          <w:tcPr>
            <w:tcW w:type="dxa" w:w="6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工具要求</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等级保护检查工具</w:t>
            </w:r>
          </w:p>
        </w:tc>
        <w:tc>
          <w:tcPr>
            <w:tcW w:type="dxa" w:w="6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服务过程中提供等级保护检查工具</w:t>
            </w:r>
          </w:p>
          <w:p>
            <w:pPr>
              <w:pStyle w:val="null3"/>
              <w:jc w:val="left"/>
            </w:pPr>
            <w:r>
              <w:rPr>
                <w:sz w:val="21"/>
              </w:rPr>
              <w:t>工具原厂商为中国境内注册，产品拥有自主知识产权，并且为国内研发和生产。</w:t>
            </w:r>
          </w:p>
          <w:p>
            <w:pPr>
              <w:pStyle w:val="null3"/>
              <w:jc w:val="left"/>
            </w:pPr>
            <w:r>
              <w:rPr>
                <w:sz w:val="21"/>
              </w:rPr>
              <w:t>1、</w:t>
            </w:r>
            <w:r>
              <w:rPr>
                <w:sz w:val="21"/>
              </w:rPr>
              <w:t>工具制造商需具有国家版权局颁发的计算机软件著作权登记证书</w:t>
            </w:r>
            <w:r>
              <w:rPr>
                <w:sz w:val="21"/>
                <w:b/>
              </w:rPr>
              <w:t>。</w:t>
            </w:r>
          </w:p>
          <w:p>
            <w:pPr>
              <w:pStyle w:val="null3"/>
              <w:jc w:val="left"/>
            </w:pPr>
            <w:r>
              <w:rPr>
                <w:sz w:val="21"/>
              </w:rPr>
              <w:t>2、</w:t>
            </w:r>
            <w:r>
              <w:rPr>
                <w:sz w:val="21"/>
              </w:rPr>
              <w:t>工具制造商需具有中国网络安全审查技术与认证中心颁发的信息安全应急处理、风险评估服务资质</w:t>
            </w:r>
            <w:r>
              <w:rPr>
                <w:sz w:val="21"/>
                <w:b/>
              </w:rPr>
              <w:t>。</w:t>
            </w:r>
          </w:p>
          <w:p>
            <w:pPr>
              <w:pStyle w:val="null3"/>
              <w:jc w:val="left"/>
            </w:pPr>
            <w:r>
              <w:rPr>
                <w:sz w:val="21"/>
              </w:rPr>
              <w:t>3、</w:t>
            </w:r>
            <w:r>
              <w:rPr>
                <w:sz w:val="21"/>
              </w:rPr>
              <w:t>工具需具备以下检测能力：</w:t>
            </w:r>
          </w:p>
          <w:p>
            <w:pPr>
              <w:pStyle w:val="null3"/>
              <w:jc w:val="left"/>
            </w:pPr>
            <w:r>
              <w:rPr>
                <w:sz w:val="21"/>
              </w:rPr>
              <w:t>4、</w:t>
            </w:r>
            <w:r>
              <w:rPr>
                <w:sz w:val="21"/>
              </w:rPr>
              <w:t>工具应支持创建评测项目、执行评测项目、评测报告管理、评估指标库管理、漏洞库管理、弱口令字典库管理等。</w:t>
            </w:r>
          </w:p>
          <w:p>
            <w:pPr>
              <w:pStyle w:val="null3"/>
              <w:jc w:val="left"/>
            </w:pPr>
            <w:r>
              <w:rPr>
                <w:sz w:val="21"/>
              </w:rPr>
              <w:t>5、</w:t>
            </w:r>
            <w:r>
              <w:rPr>
                <w:sz w:val="21"/>
              </w:rPr>
              <w:t>工具配套脆弱性扫描与管理系统软件应支持系统漏洞扫描模块、</w:t>
            </w:r>
            <w:r>
              <w:rPr>
                <w:sz w:val="21"/>
              </w:rPr>
              <w:t>WEB漏洞扫描模块、数据库漏洞扫描模块、基线配置核查模块、工控漏洞扫描模块、大数据漏洞扫描模块、Docker漏洞扫描模块、自动渗透测试模块、网络流量分析模块、源代码安全审计模块、网站安全监测模块、APP安全扫描模块、等保测评报告模块、WIFI安全监测模块等</w:t>
            </w:r>
            <w:r>
              <w:rPr>
                <w:sz w:val="21"/>
                <w:b/>
              </w:rPr>
              <w:t>。</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网络边界完整性检查管理系统</w:t>
            </w:r>
          </w:p>
        </w:tc>
        <w:tc>
          <w:tcPr>
            <w:tcW w:type="dxa" w:w="6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服务过程中提供对网络边界完整性检查</w:t>
            </w:r>
          </w:p>
          <w:p>
            <w:pPr>
              <w:pStyle w:val="null3"/>
              <w:jc w:val="both"/>
            </w:pPr>
            <w:r>
              <w:rPr>
                <w:sz w:val="21"/>
              </w:rPr>
              <w:t>工具原厂商为中国境内注册，产品拥有自主知识产权，并且为国内研发和生产。</w:t>
            </w:r>
          </w:p>
          <w:p>
            <w:pPr>
              <w:pStyle w:val="null3"/>
              <w:jc w:val="both"/>
            </w:pPr>
            <w:r>
              <w:rPr>
                <w:sz w:val="21"/>
              </w:rPr>
              <w:t>工具制造商需具有国家版权局颁发的与网络边界完整性检查管理系统相关的计算机软件著作权登记证书</w:t>
            </w:r>
            <w:r>
              <w:rPr>
                <w:sz w:val="21"/>
                <w:b/>
              </w:rPr>
              <w:t>。</w:t>
            </w:r>
          </w:p>
          <w:p>
            <w:pPr>
              <w:pStyle w:val="null3"/>
              <w:jc w:val="both"/>
            </w:pPr>
            <w:r>
              <w:rPr>
                <w:sz w:val="21"/>
              </w:rPr>
              <w:t>工具需具备以下检测能力：</w:t>
            </w:r>
          </w:p>
          <w:p>
            <w:pPr>
              <w:pStyle w:val="null3"/>
              <w:jc w:val="both"/>
            </w:pPr>
            <w:r>
              <w:rPr>
                <w:sz w:val="21"/>
              </w:rPr>
              <w:t>1、通过远程网络扫描，完成对违规内联行为的检测和定位。</w:t>
            </w:r>
          </w:p>
          <w:p>
            <w:pPr>
              <w:pStyle w:val="null3"/>
              <w:jc w:val="both"/>
            </w:pPr>
            <w:r>
              <w:rPr>
                <w:sz w:val="21"/>
              </w:rPr>
              <w:t>2、接入层网络设备的自动发现，应可自动识别设备厂商；自动扫描采集设备的软硬件信息，包括设备名称、设备描述、型号、软件版本、物理接口数量等</w:t>
            </w:r>
            <w:r>
              <w:rPr>
                <w:sz w:val="21"/>
                <w:b/>
              </w:rPr>
              <w:t>。</w:t>
            </w:r>
          </w:p>
          <w:p>
            <w:pPr>
              <w:pStyle w:val="null3"/>
              <w:jc w:val="both"/>
            </w:pPr>
            <w:r>
              <w:rPr>
                <w:sz w:val="21"/>
              </w:rPr>
              <w:t>3、接入层交换设备端口和下联MAC地址的关联定位，应可自动识别接入层交换设备端口下联的MAC地址及其对应的IP地址；应对每一设备端口的接入历史提供详细审计，应可查询任一设备端口在过去某一时段曾接入的MAC地址和其对应的IP地址。</w:t>
            </w:r>
          </w:p>
          <w:p>
            <w:pPr>
              <w:pStyle w:val="null3"/>
              <w:jc w:val="both"/>
            </w:pPr>
            <w:r>
              <w:rPr>
                <w:sz w:val="21"/>
              </w:rPr>
              <w:t>4、工具基于WEB管理，提供HTTPS访问模式。</w:t>
            </w:r>
          </w:p>
          <w:p>
            <w:pPr>
              <w:pStyle w:val="null3"/>
              <w:jc w:val="both"/>
            </w:pPr>
            <w:r>
              <w:rPr>
                <w:sz w:val="21"/>
              </w:rPr>
              <w:t>5、系统自身需提供用户校验机制，用户密码设置需提供复杂度检验机制，保证系统自身密码强壮性。</w:t>
            </w:r>
          </w:p>
          <w:p>
            <w:pPr>
              <w:pStyle w:val="null3"/>
              <w:jc w:val="both"/>
            </w:pPr>
            <w:r>
              <w:rPr>
                <w:sz w:val="21"/>
              </w:rPr>
              <w:t>6、应提供定点登录机制，即只允许用户从指定的地址登录，防止系统遭暴力破解和攻击。</w:t>
            </w:r>
          </w:p>
          <w:p>
            <w:pPr>
              <w:pStyle w:val="null3"/>
              <w:jc w:val="both"/>
            </w:pPr>
            <w:r>
              <w:rPr>
                <w:sz w:val="21"/>
              </w:rPr>
              <w:t>7、用户登录失败次数超过设定阀值，应提供用户锁定功能，防止系统遭受暴力破解</w:t>
            </w:r>
            <w:r>
              <w:rPr>
                <w:sz w:val="21"/>
                <w:b/>
              </w:rPr>
              <w:t>。</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网络安全事件调查处置工具箱系统</w:t>
            </w:r>
          </w:p>
        </w:tc>
        <w:tc>
          <w:tcPr>
            <w:tcW w:type="dxa" w:w="6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服务过程中提供网络安全事件调查处置工具对网络安全事件调查处置工作现场的技术支持，根据制定的任务生成采集U盘，通过工具进行现场数据采集、数据分析、攻击事件回溯、生成调查报告四个步骤完成调查处置工作。并将调查结果数据上报到网络安全事件调查处置平台中，通过平台的长期运行、数据积累，为信息系统和网络安全态势感知与通报预警提供精准的网络安全事件数据,并且通过大数据分析，能够预知、预判网络安全事件的发展和爆发趋势，及时进行通报预警。</w:t>
            </w:r>
          </w:p>
          <w:p>
            <w:pPr>
              <w:pStyle w:val="null3"/>
              <w:jc w:val="both"/>
            </w:pPr>
            <w:r>
              <w:rPr>
                <w:sz w:val="21"/>
              </w:rPr>
              <w:t>2、工具制造商需具有国家版权局颁发的与网络安全事件调查处置工具箱系统相关的计算机软件著作权登记证书</w:t>
            </w:r>
            <w:r>
              <w:rPr>
                <w:sz w:val="21"/>
                <w:b/>
              </w:rPr>
              <w:t>。</w:t>
            </w:r>
          </w:p>
          <w:p>
            <w:pPr>
              <w:pStyle w:val="null3"/>
              <w:jc w:val="both"/>
            </w:pPr>
            <w:r>
              <w:rPr>
                <w:sz w:val="21"/>
              </w:rPr>
              <w:t>3、支持将攻击者攻击行为进行回溯，包括扫描网站、发现漏洞、发起攻击、入侵主机、高危后果、清除痕迹共6个过程；</w:t>
            </w:r>
          </w:p>
          <w:p>
            <w:pPr>
              <w:pStyle w:val="null3"/>
              <w:jc w:val="both"/>
            </w:pPr>
            <w:r>
              <w:rPr>
                <w:sz w:val="21"/>
              </w:rPr>
              <w:t>4、支持知识库管理，主要包括：漏洞库、恶意程序样本库、网络安全事件处置知识库、调查处置工具库4个功能</w:t>
            </w:r>
            <w:r>
              <w:rPr>
                <w:sz w:val="21"/>
                <w:b/>
              </w:rPr>
              <w:t>。</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内网安全管理系统</w:t>
            </w:r>
          </w:p>
        </w:tc>
        <w:tc>
          <w:tcPr>
            <w:tcW w:type="dxa" w:w="6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服务过程中提供对内网进行安全检测</w:t>
            </w:r>
          </w:p>
          <w:p>
            <w:pPr>
              <w:pStyle w:val="null3"/>
              <w:jc w:val="both"/>
            </w:pPr>
            <w:r>
              <w:rPr>
                <w:sz w:val="21"/>
              </w:rPr>
              <w:t>1、工具制造商需具有国家版权局颁发的软件著作权登记证书</w:t>
            </w:r>
            <w:r>
              <w:rPr>
                <w:sz w:val="21"/>
                <w:b/>
              </w:rPr>
              <w:t>。</w:t>
            </w:r>
          </w:p>
          <w:p>
            <w:pPr>
              <w:pStyle w:val="null3"/>
              <w:jc w:val="both"/>
            </w:pPr>
            <w:r>
              <w:rPr>
                <w:sz w:val="21"/>
              </w:rPr>
              <w:t>2、基本功能：在windows/Linux系统下，实现从EFI/UEFI/MBR层开始接管主机，早于操作系统启动，能够监控包括操作系统在内的所有运行轨迹，实现“全息日志”监控。</w:t>
            </w:r>
          </w:p>
          <w:p>
            <w:pPr>
              <w:pStyle w:val="null3"/>
              <w:jc w:val="both"/>
            </w:pPr>
            <w:r>
              <w:rPr>
                <w:sz w:val="21"/>
              </w:rPr>
              <w:t>3、根据全息日志，进行逆向推导，可以使系统回退到过去的任意时刻，反之，向前推导，可以从过去某个时刻再返回后来的某个时刻，从而实现整个主机系统的“时光旅行”。</w:t>
            </w:r>
          </w:p>
          <w:p>
            <w:pPr>
              <w:pStyle w:val="null3"/>
              <w:jc w:val="both"/>
            </w:pPr>
            <w:r>
              <w:rPr>
                <w:sz w:val="21"/>
              </w:rPr>
              <w:t>4、在一定时段内，可以随意找回硬盘在该时段内任意时刻的数据。</w:t>
            </w:r>
          </w:p>
          <w:p>
            <w:pPr>
              <w:pStyle w:val="null3"/>
              <w:jc w:val="both"/>
            </w:pPr>
            <w:r>
              <w:rPr>
                <w:sz w:val="21"/>
              </w:rPr>
              <w:t>5、易用性：简易式操作界面，安装后无需任何操作设置就可以备份系统和所有数据，可以任意恢复系统，找回任何数据。</w:t>
            </w:r>
          </w:p>
          <w:p>
            <w:pPr>
              <w:pStyle w:val="null3"/>
              <w:jc w:val="both"/>
            </w:pPr>
            <w:r>
              <w:rPr>
                <w:sz w:val="21"/>
              </w:rPr>
              <w:t>6、性能：系统效率影响小于3%。</w:t>
            </w:r>
          </w:p>
          <w:p>
            <w:pPr>
              <w:pStyle w:val="null3"/>
              <w:jc w:val="both"/>
            </w:pPr>
            <w:r>
              <w:rPr>
                <w:sz w:val="21"/>
              </w:rPr>
              <w:t>功能：任何硬盘数据的找回都无需重启系统。任何数据的找回，无需覆盖或者破坏当前数据，实现数据的实时在线验证。</w:t>
            </w:r>
          </w:p>
          <w:p>
            <w:pPr>
              <w:pStyle w:val="null3"/>
              <w:jc w:val="left"/>
            </w:pPr>
            <w:r>
              <w:rPr>
                <w:sz w:val="21"/>
              </w:rPr>
              <w:t>8、操作系统：支持：windowsxp及以上的windows操作系统支持：server2003及以上的server的操作系统支持：Linux环境支持开源版Centos/Ubuntu/RedHat/TeamLinux/USE/Debian等。</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等级保护合规检查工具箱</w:t>
            </w:r>
          </w:p>
        </w:tc>
        <w:tc>
          <w:tcPr>
            <w:tcW w:type="dxa" w:w="6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1、支持自动扫描IP资产信息，包括：“存活IP、设备厂商、操作系统、端口、应用、数据库、中间件、服务版本”等资产指纹特征。</w:t>
            </w:r>
          </w:p>
          <w:p>
            <w:pPr>
              <w:pStyle w:val="null3"/>
              <w:jc w:val="both"/>
            </w:pPr>
            <w:r>
              <w:rPr>
                <w:sz w:val="21"/>
              </w:rPr>
              <w:t>2、支持自动识别网站资产信息，包括：“中间件信息、web框架信息、CMS&amp;OA、程序语言”等指纹信息，支持爬取网站后台、ICP备案编号、网站标题、网站返回码等属性。</w:t>
            </w:r>
          </w:p>
          <w:p>
            <w:pPr>
              <w:pStyle w:val="null3"/>
              <w:jc w:val="both"/>
            </w:pPr>
            <w:r>
              <w:rPr>
                <w:sz w:val="21"/>
              </w:rPr>
              <w:t>3、支持二级域名扫描功能，输入一级域名进行一键扫描，通过搜索互联网数据，自动获取到该域名的二级域名、网站标题、解析IP地址。</w:t>
            </w:r>
          </w:p>
          <w:p>
            <w:pPr>
              <w:pStyle w:val="null3"/>
              <w:jc w:val="both"/>
            </w:pPr>
            <w:r>
              <w:rPr>
                <w:sz w:val="21"/>
              </w:rPr>
              <w:t>4、通过爬取单位已知的网站页面，分析网页中是否包含企业单位相关的网站链接，从而发现未知网站；可配置“网段、域名”等命中规则，自动判断是否属于企业单位的网址。</w:t>
            </w:r>
          </w:p>
          <w:p>
            <w:pPr>
              <w:pStyle w:val="null3"/>
              <w:jc w:val="both"/>
            </w:pPr>
            <w:r>
              <w:rPr>
                <w:sz w:val="21"/>
              </w:rPr>
              <w:t>5、支持网站漏洞评估能力，提供多种Web应用漏洞的安全检测，如“SQL注入、跨站脚本、文件包含、CSRF、目录遍历”等网站脆弱性漏洞。</w:t>
            </w:r>
          </w:p>
          <w:p>
            <w:pPr>
              <w:pStyle w:val="null3"/>
              <w:jc w:val="both"/>
            </w:pPr>
            <w:r>
              <w:rPr>
                <w:sz w:val="21"/>
              </w:rPr>
              <w:t>6、漏洞库漏洞信息大于210000+条，与CVE、CNNVD等主流标准兼容，提供详细的漏洞描述和对应的解决方案描述。支持通过多种维度对漏洞进行检索，包括：CVE ID、CNNVD ID、漏洞名称、漏洞风险等级等维度。可基于资产的版本信息，全面、快速进行漏洞版本比对，兼容CVE 、CNNVD等漏洞库。</w:t>
            </w:r>
          </w:p>
          <w:p>
            <w:pPr>
              <w:pStyle w:val="null3"/>
              <w:jc w:val="both"/>
            </w:pPr>
            <w:r>
              <w:rPr>
                <w:sz w:val="21"/>
              </w:rPr>
              <w:t>7、支持漏洞跟踪管理，能够自动对漏洞状态进行处置，自动识别“新增、已修复、未修复”的漏洞，同时支持人工方式进行漏洞状态处置，以及编写漏洞备注</w:t>
            </w:r>
            <w:r>
              <w:rPr>
                <w:sz w:val="21"/>
                <w:b/>
              </w:rPr>
              <w:t>。</w:t>
            </w:r>
          </w:p>
          <w:p>
            <w:pPr>
              <w:pStyle w:val="null3"/>
              <w:jc w:val="both"/>
            </w:pPr>
            <w:r>
              <w:rPr>
                <w:sz w:val="21"/>
              </w:rPr>
              <w:t>8、支持20种以上常见设备和应用的配置检查，包括操作系统、应用中间件、数据库。</w:t>
            </w:r>
          </w:p>
          <w:p>
            <w:pPr>
              <w:pStyle w:val="null3"/>
              <w:jc w:val="both"/>
            </w:pPr>
            <w:r>
              <w:rPr>
                <w:sz w:val="21"/>
              </w:rPr>
              <w:t>9、要求采用欺骗防御相关技术实现失陷主机微隔离处置</w:t>
            </w:r>
            <w:r>
              <w:rPr>
                <w:sz w:val="21"/>
                <w:b/>
              </w:rPr>
              <w:t>。</w:t>
            </w:r>
          </w:p>
          <w:p>
            <w:pPr>
              <w:pStyle w:val="null3"/>
              <w:jc w:val="both"/>
            </w:pPr>
            <w:r>
              <w:rPr>
                <w:sz w:val="21"/>
              </w:rPr>
              <w:t>10、支持通过反向代理的方式，接入用户自身搭建的应用系统，从而实现完全仿真真实业务系统，生成完全仿真蜜罐</w:t>
            </w:r>
            <w:r>
              <w:rPr>
                <w:sz w:val="21"/>
                <w:b/>
              </w:rPr>
              <w:t>。</w:t>
            </w:r>
          </w:p>
          <w:p>
            <w:pPr>
              <w:pStyle w:val="null3"/>
              <w:jc w:val="both"/>
            </w:pPr>
            <w:r>
              <w:rPr>
                <w:sz w:val="21"/>
              </w:rPr>
              <w:t>11、参考MITRE ATT&amp;CK，采用多种取证技术手段，还原黑客攻击入侵蜜罐的过程，形成黑客攻击链，攻击链检测包含：“针对蜜罐的探测扫描、渗透攻击、攻陷蜜罐、在蜜罐上安装后门远控程序、利用蜜罐进行跳板攻击”等入侵过程。</w:t>
            </w:r>
          </w:p>
          <w:p>
            <w:pPr>
              <w:pStyle w:val="null3"/>
              <w:jc w:val="both"/>
            </w:pPr>
            <w:r>
              <w:rPr>
                <w:sz w:val="21"/>
              </w:rPr>
              <w:t>12、支持记录攻击者的“黑客社交画像”信息，包括社交账号、手机号、昵称、用户ID、头像等信息，支持多种黑客社交画像，至少包括：QQ、百度、哔哩哔哩等6种不同类型的社交账号。</w:t>
            </w:r>
          </w:p>
          <w:p>
            <w:pPr>
              <w:pStyle w:val="null3"/>
              <w:jc w:val="both"/>
            </w:pPr>
            <w:r>
              <w:rPr>
                <w:sz w:val="21"/>
              </w:rPr>
              <w:t>13、可警告攻击者，比如灌输国家网络安全法、告知已获得相关溯源信息，发挥蜜罐威慑作用，使攻击者放弃后续的攻击行为；可灵活指定对某个攻击源IP地址发起威慑反制。</w:t>
            </w:r>
          </w:p>
          <w:p>
            <w:pPr>
              <w:pStyle w:val="null3"/>
              <w:jc w:val="both"/>
            </w:pPr>
            <w:r>
              <w:rPr>
                <w:sz w:val="21"/>
              </w:rPr>
              <w:t>14、支持生成某个监测维度报表，包括：敏感词事件报表、敏感文件事件报表、黑链事件报表、失陷主机事件报表、可用性事件报表、域名劫持事件报表、漏洞列表等各个监测维度的报表。</w:t>
            </w:r>
          </w:p>
          <w:p>
            <w:pPr>
              <w:pStyle w:val="null3"/>
              <w:jc w:val="both"/>
            </w:pPr>
            <w:r>
              <w:rPr>
                <w:sz w:val="21"/>
              </w:rPr>
              <w:t>15、展示整体安全监测概况，呈现主机资产信息以及主机监测雷达图，包含：“弱口令、可入侵漏洞、高风险漏洞”等概况；呈现攻击监测诱饵监测概况，包含：“失陷主机统计、攻击链统计、威胁趋势”等。</w:t>
            </w:r>
          </w:p>
          <w:p>
            <w:pPr>
              <w:pStyle w:val="null3"/>
              <w:jc w:val="both"/>
            </w:pPr>
            <w:r>
              <w:rPr>
                <w:sz w:val="21"/>
              </w:rPr>
              <w:t>16、支持大屏展示功能，可视化呈现监测中心的数据，包括主机资产监测概况、攻击监测诱饵监测概况，大屏界面能够自动刷新监测数据，实时展示最新监测结果。</w:t>
            </w:r>
          </w:p>
          <w:p>
            <w:pPr>
              <w:pStyle w:val="null3"/>
              <w:jc w:val="both"/>
            </w:pPr>
            <w:r>
              <w:rPr>
                <w:sz w:val="21"/>
              </w:rPr>
              <w:t>17、具有中华人民共和国国家版权局颁发的与Web应用安全检测系统相关的计算机软件著作权登记证书</w:t>
            </w:r>
            <w:r>
              <w:rPr>
                <w:sz w:val="21"/>
                <w:b/>
              </w:rPr>
              <w:t>。</w:t>
            </w:r>
          </w:p>
        </w:tc>
      </w:tr>
    </w:tbl>
    <w:p>
      <w:pPr>
        <w:pStyle w:val="null3"/>
        <w:jc w:val="both"/>
      </w:pPr>
      <w:r>
        <w:rPr>
          <w:sz w:val="21"/>
          <w:b/>
        </w:rPr>
        <w:t>二、产品及服务供应清单：</w:t>
      </w:r>
      <w:r>
        <w:rPr>
          <w:sz w:val="21"/>
        </w:rPr>
        <w:t>见附件一《报价清单明细表》。</w:t>
      </w:r>
    </w:p>
    <w:p>
      <w:pPr>
        <w:pStyle w:val="null3"/>
        <w:jc w:val="both"/>
      </w:pPr>
      <w:r>
        <w:rPr>
          <w:sz w:val="21"/>
          <w:b/>
        </w:rPr>
        <w:t>三、基本合同条款一览表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632"/>
        <w:gridCol w:w="1505"/>
        <w:gridCol w:w="6169"/>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合同条款</w:t>
            </w:r>
          </w:p>
        </w:tc>
        <w:tc>
          <w:tcPr>
            <w:tcW w:type="dxa" w:w="6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内</w:t>
            </w:r>
            <w:r>
              <w:rPr>
                <w:sz w:val="19"/>
                <w:b/>
              </w:rPr>
              <w:t xml:space="preserve">  </w:t>
            </w:r>
            <w:r>
              <w:rPr>
                <w:sz w:val="21"/>
                <w:b/>
                <w:color w:val="000000"/>
              </w:rPr>
              <w:t>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人民币</w:t>
            </w:r>
            <w:r>
              <w:rPr>
                <w:sz w:val="21"/>
              </w:rPr>
              <w:t xml:space="preserve">  </w:t>
            </w:r>
            <w:r>
              <w:rPr>
                <w:sz w:val="21"/>
              </w:rPr>
              <w:t>小写：</w:t>
            </w:r>
            <w:r>
              <w:rPr>
                <w:sz w:val="19"/>
                <w:u w:val="single"/>
              </w:rPr>
              <w:t xml:space="preserve">           </w:t>
            </w:r>
            <w:r>
              <w:rPr>
                <w:sz w:val="21"/>
              </w:rPr>
              <w:t>元；</w:t>
            </w:r>
          </w:p>
          <w:p>
            <w:pPr>
              <w:pStyle w:val="null3"/>
              <w:jc w:val="both"/>
            </w:pPr>
            <w:r>
              <w:rPr>
                <w:sz w:val="21"/>
              </w:rPr>
              <w:t>大写：</w:t>
            </w:r>
            <w:r>
              <w:rPr>
                <w:sz w:val="19"/>
                <w:u w:val="single"/>
              </w:rPr>
              <w:t xml:space="preserve">                       </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合同总额包含但不限于所有工作人员的工勤费用（包括工资、福利、交通、食宿、通讯、常驻现场的费用等），服务期内资料收集和整理更新、软件更新升级、技术支撑、协调统筹服务、运营维护等所产生的其他费用、全额含税发票、合同实施验收过程中的应预见和不可预见费用等。</w:t>
            </w:r>
            <w:r>
              <w:rPr>
                <w:sz w:val="21"/>
              </w:rPr>
              <w:t>乙方</w:t>
            </w:r>
            <w:r>
              <w:rPr>
                <w:sz w:val="21"/>
              </w:rPr>
              <w:t>不能再以任何理由向</w:t>
            </w:r>
            <w:r>
              <w:rPr>
                <w:sz w:val="21"/>
              </w:rPr>
              <w:t>甲方</w:t>
            </w:r>
            <w:r>
              <w:rPr>
                <w:sz w:val="21"/>
              </w:rPr>
              <w:t>索取其他费用或利益。</w:t>
            </w:r>
          </w:p>
          <w:p>
            <w:pPr>
              <w:pStyle w:val="null3"/>
              <w:jc w:val="both"/>
            </w:pPr>
            <w:r>
              <w:rPr>
                <w:sz w:val="21"/>
              </w:rPr>
              <w:t>（</w:t>
            </w:r>
            <w:r>
              <w:rPr>
                <w:sz w:val="21"/>
              </w:rPr>
              <w:t>2）价格为固定不变价，天数为公历日。</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甲方指定地点。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合同签订之日起</w:t>
            </w:r>
            <w:r>
              <w:rPr>
                <w:sz w:val="21"/>
              </w:rPr>
              <w:t>至</w:t>
            </w:r>
            <w:r>
              <w:rPr>
                <w:sz w:val="21"/>
              </w:rPr>
              <w:t>2025年12月31日</w:t>
            </w:r>
            <w:r>
              <w:rPr>
                <w:sz w:val="21"/>
              </w:rPr>
              <w:t>内完成测评工作，至网络安全等级保护测评服务项目通过验收止。</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 一次性签订本项目采购合同。</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1期：</w:t>
            </w:r>
            <w:r>
              <w:rPr>
                <w:sz w:val="21"/>
              </w:rPr>
              <w:t>支付比例</w:t>
            </w:r>
            <w:r>
              <w:rPr>
                <w:sz w:val="21"/>
              </w:rPr>
              <w:t>50%,合同签订并生效，</w:t>
            </w:r>
            <w:r>
              <w:rPr>
                <w:sz w:val="21"/>
              </w:rPr>
              <w:t>乙方</w:t>
            </w:r>
            <w:r>
              <w:rPr>
                <w:sz w:val="21"/>
              </w:rPr>
              <w:t>提供有效发票后，</w:t>
            </w:r>
            <w:r>
              <w:rPr>
                <w:sz w:val="21"/>
              </w:rPr>
              <w:t>甲方</w:t>
            </w:r>
            <w:r>
              <w:rPr>
                <w:sz w:val="21"/>
              </w:rPr>
              <w:t>在</w:t>
            </w:r>
            <w:r>
              <w:rPr>
                <w:sz w:val="21"/>
              </w:rPr>
              <w:t>10个工作日内支付合同总金额的50%。</w:t>
            </w:r>
          </w:p>
          <w:p>
            <w:pPr>
              <w:pStyle w:val="null3"/>
            </w:pPr>
            <w:r>
              <w:rPr>
                <w:sz w:val="21"/>
              </w:rPr>
              <w:t>2期：支付比例50%,</w:t>
            </w:r>
            <w:r>
              <w:rPr>
                <w:sz w:val="21"/>
              </w:rPr>
              <w:t>乙方</w:t>
            </w:r>
            <w:r>
              <w:rPr>
                <w:sz w:val="21"/>
              </w:rPr>
              <w:t>按合同服务内容完成服务，并经</w:t>
            </w:r>
            <w:r>
              <w:rPr>
                <w:sz w:val="21"/>
              </w:rPr>
              <w:t>甲方</w:t>
            </w:r>
            <w:r>
              <w:rPr>
                <w:sz w:val="21"/>
              </w:rPr>
              <w:t>书面确认通过阶段验收后，</w:t>
            </w:r>
            <w:r>
              <w:rPr>
                <w:sz w:val="21"/>
              </w:rPr>
              <w:t>甲方</w:t>
            </w:r>
            <w:r>
              <w:rPr>
                <w:sz w:val="21"/>
              </w:rPr>
              <w:t>在收齐支付必要的资料（包括但不限于正规发票和</w:t>
            </w:r>
            <w:r>
              <w:rPr>
                <w:sz w:val="21"/>
              </w:rPr>
              <w:t>甲方</w:t>
            </w:r>
            <w:r>
              <w:rPr>
                <w:sz w:val="21"/>
              </w:rPr>
              <w:t>认可的各项记录文件）之日起</w:t>
            </w:r>
            <w:r>
              <w:rPr>
                <w:sz w:val="21"/>
              </w:rPr>
              <w:t>10个工作日内向</w:t>
            </w:r>
            <w:r>
              <w:rPr>
                <w:sz w:val="21"/>
              </w:rPr>
              <w:t>乙方</w:t>
            </w:r>
            <w:r>
              <w:rPr>
                <w:sz w:val="21"/>
              </w:rPr>
              <w:t>支付合同总金额的</w:t>
            </w:r>
            <w:r>
              <w:rPr>
                <w:sz w:val="21"/>
              </w:rPr>
              <w:t>50%。</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付款要求</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乙方</w:t>
            </w:r>
            <w:r>
              <w:rPr>
                <w:sz w:val="21"/>
              </w:rPr>
              <w:t>凭以下有效文件与</w:t>
            </w:r>
            <w:r>
              <w:rPr>
                <w:sz w:val="21"/>
              </w:rPr>
              <w:t>甲方</w:t>
            </w:r>
            <w:r>
              <w:rPr>
                <w:sz w:val="21"/>
              </w:rPr>
              <w:t>结算：</w:t>
            </w:r>
            <w:r>
              <w:rPr>
                <w:sz w:val="21"/>
              </w:rPr>
              <w:t>1）合同；2）</w:t>
            </w:r>
            <w:r>
              <w:rPr>
                <w:sz w:val="21"/>
              </w:rPr>
              <w:t>乙方</w:t>
            </w:r>
            <w:r>
              <w:rPr>
                <w:sz w:val="21"/>
              </w:rPr>
              <w:t>开具的正式发票；</w:t>
            </w:r>
            <w:r>
              <w:rPr>
                <w:sz w:val="21"/>
              </w:rPr>
              <w:t>3）付款申请书；4）</w:t>
            </w:r>
            <w:r>
              <w:rPr>
                <w:sz w:val="21"/>
              </w:rPr>
              <w:t>成交</w:t>
            </w:r>
            <w:r>
              <w:rPr>
                <w:sz w:val="21"/>
              </w:rPr>
              <w:t>通知书。</w:t>
            </w:r>
          </w:p>
          <w:p>
            <w:pPr>
              <w:pStyle w:val="null3"/>
            </w:pPr>
            <w:r>
              <w:rPr>
                <w:sz w:val="21"/>
              </w:rPr>
              <w:t>（</w:t>
            </w:r>
            <w:r>
              <w:rPr>
                <w:sz w:val="21"/>
              </w:rPr>
              <w:t>2</w:t>
            </w:r>
            <w:r>
              <w:rPr>
                <w:sz w:val="21"/>
              </w:rPr>
              <w:t>）收款方、出具发票方、合同</w:t>
            </w:r>
            <w:r>
              <w:rPr>
                <w:sz w:val="21"/>
              </w:rPr>
              <w:t>乙方</w:t>
            </w:r>
            <w:r>
              <w:rPr>
                <w:sz w:val="21"/>
              </w:rPr>
              <w:t>必须与</w:t>
            </w:r>
            <w:r>
              <w:rPr>
                <w:sz w:val="21"/>
              </w:rPr>
              <w:t>成交供应商</w:t>
            </w:r>
            <w:r>
              <w:rPr>
                <w:sz w:val="21"/>
              </w:rPr>
              <w:t>名称一致。</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人员管理</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乙方</w:t>
            </w:r>
            <w:r>
              <w:rPr>
                <w:sz w:val="21"/>
              </w:rPr>
              <w:t>须按其响应文件中承诺提供的项目组人员必须按要求投入到本项目中，在合同期内不得擅自更换。</w:t>
            </w:r>
            <w:r>
              <w:rPr>
                <w:sz w:val="21"/>
              </w:rPr>
              <w:t>乙方</w:t>
            </w:r>
            <w:r>
              <w:rPr>
                <w:sz w:val="21"/>
              </w:rPr>
              <w:t>如因工作安排或</w:t>
            </w:r>
            <w:r>
              <w:rPr>
                <w:sz w:val="21"/>
                <w:color w:val="0000FF"/>
                <w:u w:val="single"/>
              </w:rPr>
              <w:t>其他</w:t>
            </w:r>
            <w:r>
              <w:rPr>
                <w:sz w:val="21"/>
              </w:rPr>
              <w:t>原因，需要更换项目组人员时，应事前向</w:t>
            </w:r>
            <w:r>
              <w:rPr>
                <w:sz w:val="21"/>
              </w:rPr>
              <w:t>甲方</w:t>
            </w:r>
            <w:r>
              <w:rPr>
                <w:sz w:val="21"/>
              </w:rPr>
              <w:t>书面提出书面申请，未经</w:t>
            </w:r>
            <w:r>
              <w:rPr>
                <w:sz w:val="21"/>
              </w:rPr>
              <w:t>甲方</w:t>
            </w:r>
            <w:r>
              <w:rPr>
                <w:sz w:val="21"/>
              </w:rPr>
              <w:t>同意，不得更换人员。</w:t>
            </w:r>
          </w:p>
          <w:p>
            <w:pPr>
              <w:pStyle w:val="null3"/>
            </w:pPr>
            <w:r>
              <w:rPr>
                <w:sz w:val="21"/>
              </w:rPr>
              <w:t>(2)</w:t>
            </w:r>
            <w:r>
              <w:rPr>
                <w:sz w:val="21"/>
              </w:rPr>
              <w:t>如</w:t>
            </w:r>
            <w:r>
              <w:rPr>
                <w:sz w:val="21"/>
              </w:rPr>
              <w:t>乙方</w:t>
            </w:r>
            <w:r>
              <w:rPr>
                <w:sz w:val="21"/>
              </w:rPr>
              <w:t>未经</w:t>
            </w:r>
            <w:r>
              <w:rPr>
                <w:sz w:val="21"/>
              </w:rPr>
              <w:t>甲方</w:t>
            </w:r>
            <w:r>
              <w:rPr>
                <w:sz w:val="21"/>
              </w:rPr>
              <w:t>书面同意擅自更换项目组人员，除须按</w:t>
            </w:r>
            <w:r>
              <w:rPr>
                <w:sz w:val="21"/>
              </w:rPr>
              <w:t>甲方</w:t>
            </w:r>
            <w:r>
              <w:rPr>
                <w:sz w:val="21"/>
              </w:rPr>
              <w:t>的要求对人员作出调整外，累计达</w:t>
            </w:r>
            <w:r>
              <w:rPr>
                <w:sz w:val="21"/>
              </w:rPr>
              <w:t>3次后，</w:t>
            </w:r>
            <w:r>
              <w:rPr>
                <w:sz w:val="21"/>
              </w:rPr>
              <w:t>甲方</w:t>
            </w:r>
            <w:r>
              <w:rPr>
                <w:sz w:val="21"/>
              </w:rPr>
              <w:t>有权终止合同，由此引致的经济损失，</w:t>
            </w:r>
            <w:r>
              <w:rPr>
                <w:sz w:val="21"/>
              </w:rPr>
              <w:t>乙方</w:t>
            </w:r>
            <w:r>
              <w:rPr>
                <w:sz w:val="21"/>
              </w:rPr>
              <w:t>须全额赔偿，</w:t>
            </w:r>
            <w:r>
              <w:rPr>
                <w:sz w:val="21"/>
              </w:rPr>
              <w:t>甲方</w:t>
            </w:r>
            <w:r>
              <w:rPr>
                <w:sz w:val="21"/>
              </w:rPr>
              <w:t>保留追究</w:t>
            </w:r>
            <w:r>
              <w:rPr>
                <w:sz w:val="21"/>
              </w:rPr>
              <w:t>乙方</w:t>
            </w:r>
            <w:r>
              <w:rPr>
                <w:sz w:val="21"/>
              </w:rPr>
              <w:t>相关责任的权利。</w:t>
            </w:r>
          </w:p>
          <w:p>
            <w:pPr>
              <w:pStyle w:val="null3"/>
            </w:pPr>
            <w:r>
              <w:rPr>
                <w:sz w:val="21"/>
              </w:rPr>
              <w:t>(3)</w:t>
            </w:r>
            <w:r>
              <w:rPr>
                <w:sz w:val="21"/>
              </w:rPr>
              <w:t>甲方</w:t>
            </w:r>
            <w:r>
              <w:rPr>
                <w:sz w:val="21"/>
              </w:rPr>
              <w:t>有权以书面形式要求</w:t>
            </w:r>
            <w:r>
              <w:rPr>
                <w:sz w:val="21"/>
              </w:rPr>
              <w:t>乙方</w:t>
            </w:r>
            <w:r>
              <w:rPr>
                <w:sz w:val="21"/>
              </w:rPr>
              <w:t>更换不能按规定履行合同的人员。</w:t>
            </w:r>
          </w:p>
          <w:p>
            <w:pPr>
              <w:pStyle w:val="null3"/>
            </w:pPr>
            <w:r>
              <w:rPr>
                <w:sz w:val="21"/>
              </w:rPr>
              <w:t>(4)</w:t>
            </w:r>
            <w:r>
              <w:rPr>
                <w:sz w:val="21"/>
              </w:rPr>
              <w:t>即使是</w:t>
            </w:r>
            <w:r>
              <w:rPr>
                <w:sz w:val="21"/>
              </w:rPr>
              <w:t>甲方</w:t>
            </w:r>
            <w:r>
              <w:rPr>
                <w:sz w:val="21"/>
              </w:rPr>
              <w:t>要求或同意更换的人员，其代替人员的资质仍应得到</w:t>
            </w:r>
            <w:r>
              <w:rPr>
                <w:sz w:val="21"/>
              </w:rPr>
              <w:t>甲方</w:t>
            </w:r>
            <w:r>
              <w:rPr>
                <w:sz w:val="21"/>
              </w:rPr>
              <w:t>的认可，且其资历和经验均不低于被更换人员。由此而产生的费用由</w:t>
            </w:r>
            <w:r>
              <w:rPr>
                <w:sz w:val="21"/>
              </w:rPr>
              <w:t>乙方</w:t>
            </w:r>
            <w:r>
              <w:rPr>
                <w:sz w:val="21"/>
              </w:rPr>
              <w:t>承担。</w:t>
            </w:r>
          </w:p>
          <w:p>
            <w:pPr>
              <w:pStyle w:val="null3"/>
            </w:pPr>
            <w:r>
              <w:rPr>
                <w:sz w:val="21"/>
              </w:rPr>
              <w:t>(5)</w:t>
            </w:r>
            <w:r>
              <w:rPr>
                <w:sz w:val="21"/>
              </w:rPr>
              <w:t>乙方</w:t>
            </w:r>
            <w:r>
              <w:rPr>
                <w:sz w:val="21"/>
              </w:rPr>
              <w:t>对其投入的服务人员的人身安全负全部责任。</w:t>
            </w:r>
          </w:p>
        </w:tc>
      </w:tr>
    </w:tbl>
    <w:p>
      <w:pPr>
        <w:pStyle w:val="null3"/>
        <w:numPr>
          <w:ilvl w:val="0"/>
          <w:numId w:val="1"/>
        </w:numPr>
        <w:jc w:val="both"/>
      </w:pPr>
      <w:r>
        <w:rPr>
          <w:sz w:val="21"/>
          <w:b/>
        </w:rPr>
        <w:t>验收要求：</w:t>
      </w:r>
    </w:p>
    <w:p>
      <w:pPr>
        <w:pStyle w:val="null3"/>
        <w:jc w:val="both"/>
      </w:pPr>
      <w:r>
        <w:rPr>
          <w:sz w:val="21"/>
        </w:rPr>
        <w:t>1．</w:t>
      </w:r>
      <w:r>
        <w:rPr>
          <w:sz w:val="21"/>
        </w:rPr>
        <w:t>履约验收主体：</w:t>
      </w:r>
      <w:r>
        <w:rPr>
          <w:sz w:val="21"/>
        </w:rPr>
        <w:t>甲方</w:t>
      </w:r>
      <w:r>
        <w:rPr>
          <w:sz w:val="21"/>
        </w:rPr>
        <w:t>、</w:t>
      </w:r>
      <w:r>
        <w:rPr>
          <w:sz w:val="21"/>
        </w:rPr>
        <w:t>乙方</w:t>
      </w:r>
      <w:r>
        <w:rPr>
          <w:sz w:val="21"/>
        </w:rPr>
        <w:t>。</w:t>
      </w:r>
    </w:p>
    <w:p>
      <w:pPr>
        <w:pStyle w:val="null3"/>
        <w:jc w:val="both"/>
      </w:pPr>
      <w:r>
        <w:rPr>
          <w:sz w:val="21"/>
        </w:rPr>
        <w:t>2．</w:t>
      </w:r>
      <w:r>
        <w:rPr>
          <w:sz w:val="21"/>
        </w:rPr>
        <w:t>履约验收时间：</w:t>
      </w:r>
      <w:r>
        <w:rPr>
          <w:sz w:val="21"/>
        </w:rPr>
        <w:t>甲方</w:t>
      </w:r>
      <w:r>
        <w:rPr>
          <w:sz w:val="21"/>
        </w:rPr>
        <w:t>在收到</w:t>
      </w:r>
      <w:r>
        <w:rPr>
          <w:sz w:val="21"/>
        </w:rPr>
        <w:t>乙方</w:t>
      </w:r>
      <w:r>
        <w:rPr>
          <w:sz w:val="21"/>
        </w:rPr>
        <w:t>项目验收建议之日起</w:t>
      </w:r>
      <w:r>
        <w:rPr>
          <w:sz w:val="21"/>
        </w:rPr>
        <w:t>7个工作日内按本单位的项目验收相关工作要求和流程组织验收。</w:t>
      </w:r>
    </w:p>
    <w:p>
      <w:pPr>
        <w:pStyle w:val="null3"/>
        <w:jc w:val="both"/>
      </w:pPr>
      <w:r>
        <w:rPr>
          <w:sz w:val="21"/>
        </w:rPr>
        <w:t>3．</w:t>
      </w:r>
      <w:r>
        <w:rPr>
          <w:sz w:val="21"/>
        </w:rPr>
        <w:t>履约验收方式：按磋商文件、响应文件、合同文件标准进行验收。</w:t>
      </w:r>
    </w:p>
    <w:p>
      <w:pPr>
        <w:pStyle w:val="null3"/>
        <w:jc w:val="both"/>
      </w:pPr>
      <w:r>
        <w:rPr>
          <w:sz w:val="21"/>
        </w:rPr>
        <w:t>4．</w:t>
      </w:r>
      <w:r>
        <w:rPr>
          <w:sz w:val="21"/>
        </w:rPr>
        <w:t>履约验收内容：对应</w:t>
      </w:r>
      <w:r>
        <w:rPr>
          <w:sz w:val="21"/>
        </w:rPr>
        <w:t>乙方</w:t>
      </w:r>
      <w:r>
        <w:rPr>
          <w:sz w:val="21"/>
        </w:rPr>
        <w:t>的响应文件的技术和商务、人员要求等，结合</w:t>
      </w:r>
      <w:r>
        <w:rPr>
          <w:sz w:val="21"/>
        </w:rPr>
        <w:t>甲方</w:t>
      </w:r>
      <w:r>
        <w:rPr>
          <w:sz w:val="21"/>
        </w:rPr>
        <w:t>招标文件要求的标准为准则。</w:t>
      </w:r>
    </w:p>
    <w:p>
      <w:pPr>
        <w:pStyle w:val="null3"/>
        <w:jc w:val="both"/>
      </w:pPr>
      <w:r>
        <w:rPr>
          <w:sz w:val="21"/>
        </w:rPr>
        <w:t>5．</w:t>
      </w:r>
      <w:r>
        <w:rPr>
          <w:sz w:val="21"/>
        </w:rPr>
        <w:t>履约验收程序、验收标准：项目所有工作内容完成以后，由</w:t>
      </w:r>
      <w:r>
        <w:rPr>
          <w:sz w:val="21"/>
        </w:rPr>
        <w:t>乙方</w:t>
      </w:r>
      <w:r>
        <w:rPr>
          <w:sz w:val="21"/>
        </w:rPr>
        <w:t>提交验收申请，由</w:t>
      </w:r>
      <w:r>
        <w:rPr>
          <w:sz w:val="21"/>
        </w:rPr>
        <w:t>甲方</w:t>
      </w:r>
      <w:r>
        <w:rPr>
          <w:sz w:val="21"/>
        </w:rPr>
        <w:t>组织验收小组，负责对项目进行全面验收，项目验收依次序对照执行标准为：</w:t>
      </w:r>
      <w:r>
        <w:rPr>
          <w:sz w:val="21"/>
        </w:rPr>
        <w:t>①符合中华人民共和国国家和履约地相关安全质量标准、行业技术规范标准；②符合采购文件和投标承诺中各方共同认可的各项要求；③双方约定的其他验收标准。项目完成后</w:t>
      </w:r>
      <w:r>
        <w:rPr>
          <w:sz w:val="21"/>
        </w:rPr>
        <w:t>乙方</w:t>
      </w:r>
      <w:r>
        <w:rPr>
          <w:sz w:val="21"/>
        </w:rPr>
        <w:t>向</w:t>
      </w:r>
      <w:r>
        <w:rPr>
          <w:sz w:val="21"/>
        </w:rPr>
        <w:t>甲方</w:t>
      </w:r>
      <w:r>
        <w:rPr>
          <w:sz w:val="21"/>
        </w:rPr>
        <w:t>提供项目期间的各种文档，</w:t>
      </w:r>
      <w:r>
        <w:rPr>
          <w:sz w:val="21"/>
        </w:rPr>
        <w:t>乙方</w:t>
      </w:r>
      <w:r>
        <w:rPr>
          <w:sz w:val="21"/>
        </w:rPr>
        <w:t>需为验收提供必需的设备、工具及其他便利条件。</w:t>
      </w:r>
    </w:p>
    <w:p>
      <w:pPr>
        <w:pStyle w:val="null3"/>
        <w:jc w:val="both"/>
      </w:pPr>
      <w:r>
        <w:rPr>
          <w:sz w:val="21"/>
          <w:b/>
        </w:rPr>
        <w:t>五、投诉跟踪服务要求：</w:t>
      </w:r>
    </w:p>
    <w:p>
      <w:pPr>
        <w:pStyle w:val="null3"/>
        <w:jc w:val="both"/>
      </w:pPr>
      <w:r>
        <w:rPr>
          <w:sz w:val="21"/>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jc w:val="both"/>
      </w:pPr>
      <w:r>
        <w:rPr>
          <w:sz w:val="21"/>
        </w:rPr>
        <w:t>2.服务期内，甲方有权按本项目的管理要求对乙方进行不定期抽查检查，若对不合格的管理服务提出警告后，仍未得到有效解决时，甲方有权终止管理合同。</w:t>
      </w:r>
    </w:p>
    <w:p>
      <w:pPr>
        <w:pStyle w:val="null3"/>
        <w:jc w:val="both"/>
      </w:pPr>
      <w:r>
        <w:rPr>
          <w:sz w:val="21"/>
        </w:rPr>
        <w:t>3.乙方服务机构名称及地址</w:t>
      </w:r>
    </w:p>
    <w:p>
      <w:pPr>
        <w:pStyle w:val="null3"/>
        <w:ind w:firstLine="240"/>
        <w:jc w:val="both"/>
      </w:pPr>
      <w:r>
        <w:rPr>
          <w:sz w:val="21"/>
        </w:rPr>
        <w:t>联系人</w:t>
      </w:r>
      <w:r>
        <w:rPr>
          <w:sz w:val="21"/>
        </w:rPr>
        <w:t>1：          ，联系电话：            ，手机：          ；</w:t>
      </w:r>
    </w:p>
    <w:p>
      <w:pPr>
        <w:pStyle w:val="null3"/>
        <w:ind w:firstLine="240"/>
        <w:jc w:val="both"/>
      </w:pPr>
      <w:r>
        <w:rPr>
          <w:sz w:val="21"/>
        </w:rPr>
        <w:t>联系人</w:t>
      </w:r>
      <w:r>
        <w:rPr>
          <w:sz w:val="21"/>
        </w:rPr>
        <w:t>2：          ，联系电话：            ，手机：          ；</w:t>
      </w:r>
    </w:p>
    <w:p>
      <w:pPr>
        <w:pStyle w:val="null3"/>
        <w:ind w:firstLine="240"/>
        <w:jc w:val="both"/>
      </w:pPr>
      <w:r>
        <w:rPr>
          <w:sz w:val="21"/>
        </w:rPr>
        <w:t>服务专线电话：</w:t>
      </w:r>
    </w:p>
    <w:p>
      <w:pPr>
        <w:pStyle w:val="null3"/>
        <w:jc w:val="both"/>
      </w:pPr>
      <w:r>
        <w:rPr>
          <w:sz w:val="21"/>
        </w:rPr>
        <w:t>4.其他服务要求：（补充内容不得对采购文件和投标/响应文件作实质性修改）</w:t>
      </w:r>
    </w:p>
    <w:p>
      <w:pPr>
        <w:pStyle w:val="null3"/>
        <w:ind w:firstLine="240"/>
        <w:jc w:val="both"/>
      </w:pPr>
      <w:r>
        <w:rPr>
          <w:u w:val="single"/>
        </w:rPr>
        <w:t xml:space="preserve">                                                        </w:t>
      </w:r>
      <w:r>
        <w:rPr>
          <w:sz w:val="21"/>
        </w:rPr>
        <w:t>。</w:t>
      </w:r>
    </w:p>
    <w:p>
      <w:pPr>
        <w:pStyle w:val="null3"/>
        <w:jc w:val="both"/>
      </w:pPr>
      <w:r>
        <w:rPr>
          <w:sz w:val="21"/>
          <w:b/>
        </w:rPr>
        <w:t>六、知识产权</w:t>
      </w:r>
    </w:p>
    <w:p>
      <w:pPr>
        <w:pStyle w:val="null3"/>
        <w:ind w:firstLine="420"/>
        <w:jc w:val="both"/>
      </w:pPr>
      <w:r>
        <w:rPr>
          <w:sz w:val="21"/>
        </w:rPr>
        <w:t>本项目实施中所产生的所有工作成果（包括但不限于发明、发现及相关技术资料、文档等）的知识产权归佛山市教育局所有。乙方保证所提供的服务没有侵害任何第三方的知识产权或其他正当权益。如有第三方指控乙方提供给甲方的服务侵犯了该方的知识产权或其他权利，乙方应自费就上述指控为甲方辩护或进行妥善处理，并承担给甲方及第三方造成的一切损失（包括但不限于赔偿金、律师费等）。如乙方不为甲方辩护或不进行妥善处理，甲方可自行处理，甲方与第三方达成的和解协议或法院生效判决由甲方承担的责任，及甲方自行处理所支出的费用（包括但不限于律师费、案件受理费、执行费、差旅费等）由乙方承担。</w:t>
      </w:r>
    </w:p>
    <w:p>
      <w:pPr>
        <w:pStyle w:val="null3"/>
        <w:jc w:val="both"/>
      </w:pPr>
      <w:r>
        <w:rPr>
          <w:sz w:val="21"/>
          <w:b/>
        </w:rPr>
        <w:t>七、保密要求</w:t>
      </w:r>
    </w:p>
    <w:p>
      <w:pPr>
        <w:pStyle w:val="null3"/>
        <w:jc w:val="both"/>
      </w:pPr>
      <w:r>
        <w:rPr>
          <w:sz w:val="21"/>
        </w:rPr>
        <w:t>1．</w:t>
      </w:r>
      <w:r>
        <w:rPr>
          <w:sz w:val="21"/>
        </w:rPr>
        <w:t>在服务期间，</w:t>
      </w:r>
      <w:r>
        <w:rPr>
          <w:sz w:val="21"/>
        </w:rPr>
        <w:t>乙方</w:t>
      </w:r>
      <w:r>
        <w:rPr>
          <w:sz w:val="21"/>
        </w:rPr>
        <w:t>派驻服务团队须严格遵守</w:t>
      </w:r>
      <w:r>
        <w:rPr>
          <w:sz w:val="21"/>
        </w:rPr>
        <w:t>甲方</w:t>
      </w:r>
      <w:r>
        <w:rPr>
          <w:sz w:val="21"/>
        </w:rPr>
        <w:t>制定的各项规章制度、管理流程以及操作规范。如有违反，将追究服务商责任。</w:t>
      </w:r>
    </w:p>
    <w:p>
      <w:pPr>
        <w:pStyle w:val="null3"/>
        <w:jc w:val="both"/>
      </w:pPr>
      <w:r>
        <w:rPr>
          <w:sz w:val="21"/>
        </w:rPr>
        <w:t>2．</w:t>
      </w:r>
      <w:r>
        <w:rPr>
          <w:sz w:val="21"/>
        </w:rPr>
        <w:t>不论何时（服务期间或服务期结束后），</w:t>
      </w:r>
      <w:r>
        <w:rPr>
          <w:sz w:val="21"/>
        </w:rPr>
        <w:t>乙方</w:t>
      </w:r>
      <w:r>
        <w:rPr>
          <w:sz w:val="21"/>
        </w:rPr>
        <w:t>须对安全服务过程中接触的</w:t>
      </w:r>
      <w:r>
        <w:rPr>
          <w:sz w:val="21"/>
        </w:rPr>
        <w:t>甲方</w:t>
      </w:r>
      <w:r>
        <w:rPr>
          <w:sz w:val="21"/>
        </w:rPr>
        <w:t>所有信息和数据保密。未经允许不得以任何方式向外界传递或泄露</w:t>
      </w:r>
      <w:r>
        <w:rPr>
          <w:sz w:val="21"/>
        </w:rPr>
        <w:t>甲方</w:t>
      </w:r>
      <w:r>
        <w:rPr>
          <w:sz w:val="21"/>
        </w:rPr>
        <w:t>的任何信息或数据，一旦发现，将追究</w:t>
      </w:r>
      <w:r>
        <w:rPr>
          <w:sz w:val="21"/>
        </w:rPr>
        <w:t>乙方</w:t>
      </w:r>
      <w:r>
        <w:rPr>
          <w:sz w:val="21"/>
        </w:rPr>
        <w:t>法律责任。</w:t>
      </w:r>
    </w:p>
    <w:p>
      <w:pPr>
        <w:pStyle w:val="null3"/>
        <w:jc w:val="both"/>
      </w:pPr>
      <w:r>
        <w:rPr>
          <w:sz w:val="21"/>
        </w:rPr>
        <w:t>3．</w:t>
      </w:r>
      <w:r>
        <w:rPr>
          <w:sz w:val="21"/>
        </w:rPr>
        <w:t>对</w:t>
      </w:r>
      <w:r>
        <w:rPr>
          <w:sz w:val="21"/>
        </w:rPr>
        <w:t>甲方</w:t>
      </w:r>
      <w:r>
        <w:rPr>
          <w:sz w:val="21"/>
        </w:rPr>
        <w:t>的全部资产（包括全部设备、线路、软件、配套设施、系统产生的各类数据信息及相关文档资料等），</w:t>
      </w:r>
      <w:r>
        <w:rPr>
          <w:sz w:val="21"/>
        </w:rPr>
        <w:t>乙方</w:t>
      </w:r>
      <w:r>
        <w:rPr>
          <w:sz w:val="21"/>
        </w:rPr>
        <w:t>不得以任何方式对其进行出售、抵押或转移；且在服务期间，</w:t>
      </w:r>
      <w:r>
        <w:rPr>
          <w:sz w:val="21"/>
        </w:rPr>
        <w:t>乙方</w:t>
      </w:r>
      <w:r>
        <w:rPr>
          <w:sz w:val="21"/>
        </w:rPr>
        <w:t>有责任保证上述资产的完整、安全并处于良好状态，因</w:t>
      </w:r>
      <w:r>
        <w:rPr>
          <w:sz w:val="21"/>
        </w:rPr>
        <w:t>乙方</w:t>
      </w:r>
      <w:r>
        <w:rPr>
          <w:sz w:val="21"/>
        </w:rPr>
        <w:t>责任而导致的设备损坏或资产损失，由</w:t>
      </w:r>
      <w:r>
        <w:rPr>
          <w:sz w:val="21"/>
        </w:rPr>
        <w:t>乙方</w:t>
      </w:r>
      <w:r>
        <w:rPr>
          <w:sz w:val="21"/>
        </w:rPr>
        <w:t>承担责任。</w:t>
      </w:r>
    </w:p>
    <w:p>
      <w:pPr>
        <w:pStyle w:val="null3"/>
        <w:jc w:val="both"/>
      </w:pPr>
      <w:r>
        <w:rPr>
          <w:sz w:val="21"/>
          <w:b/>
        </w:rPr>
        <w:t>八、</w:t>
      </w:r>
      <w:r>
        <w:rPr>
          <w:sz w:val="21"/>
          <w:b/>
        </w:rPr>
        <w:t>违约责任</w:t>
      </w:r>
    </w:p>
    <w:p>
      <w:pPr>
        <w:pStyle w:val="null3"/>
        <w:jc w:val="both"/>
      </w:pPr>
      <w:r>
        <w:rPr>
          <w:sz w:val="21"/>
        </w:rPr>
        <w:t>1．甲方逾期付款的，每逾期一个工作日，按应付款的万分之三向乙方偿付违约金(甲方由于财政付款手续等原因造成的延期付款免责)，违约金最高上限为合同金额的百分之五。</w:t>
      </w:r>
    </w:p>
    <w:p>
      <w:pPr>
        <w:pStyle w:val="null3"/>
        <w:jc w:val="both"/>
      </w:pPr>
      <w:r>
        <w:rPr>
          <w:sz w:val="21"/>
        </w:rPr>
        <w:t>2．乙方不能履行服务的，甲方有权单方解除合同，乙方应承担由此给甲方造成的经济损失。</w:t>
      </w:r>
    </w:p>
    <w:p>
      <w:pPr>
        <w:pStyle w:val="null3"/>
        <w:jc w:val="both"/>
      </w:pPr>
      <w:r>
        <w:rPr>
          <w:sz w:val="21"/>
        </w:rPr>
        <w:t>3．乙方逾期提供服务的，每逾期一个自然日，按合同总价的千分之五向甲方偿付违约金，并承担甲方因此所遭受的损失;逾期超过7个自然日，视为乙方不能提供服务，应按乙方不能履行服务的条款处理。</w:t>
      </w:r>
    </w:p>
    <w:p>
      <w:pPr>
        <w:pStyle w:val="null3"/>
        <w:jc w:val="both"/>
      </w:pPr>
      <w:r>
        <w:rPr>
          <w:sz w:val="21"/>
        </w:rPr>
        <w:t>4．乙方未亲自履行任何一项或履行不符合合同要求的，乙方应向甲方支付相当于合同金额5%的违约金，如果违约金不足以弥补给甲方造成损失的，还应赔偿甲方的损失。</w:t>
      </w:r>
    </w:p>
    <w:p>
      <w:pPr>
        <w:pStyle w:val="null3"/>
        <w:jc w:val="both"/>
      </w:pPr>
      <w:r>
        <w:rPr>
          <w:sz w:val="21"/>
        </w:rPr>
        <w:t>5．乙方违约而采取的任何补救措施都不能弥补甲方受损害的利益情况下，甲方可向乙方发出书面通知，终止全部或部分合同，并由乙方承担因此给甲方造成的经济损失</w:t>
      </w:r>
    </w:p>
    <w:p>
      <w:pPr>
        <w:pStyle w:val="null3"/>
        <w:jc w:val="both"/>
      </w:pPr>
      <w:r>
        <w:rPr>
          <w:sz w:val="21"/>
        </w:rPr>
        <w:t>6．乙方在项目承接过和执行过程中，如侵犯第三人知识产权的，相关责任由乙方自行承担;如因此给甲方造成损失的，乙方还应承担赔偿责任，甲方可以终止协议</w:t>
      </w:r>
    </w:p>
    <w:p>
      <w:pPr>
        <w:pStyle w:val="null3"/>
        <w:jc w:val="both"/>
      </w:pPr>
      <w:r>
        <w:rPr>
          <w:sz w:val="21"/>
        </w:rPr>
        <w:t>7</w:t>
      </w:r>
      <w:r>
        <w:rPr>
          <w:sz w:val="21"/>
        </w:rPr>
        <w:t>.其它违约责任按《中华人民共和国民法典》处理。</w:t>
      </w:r>
    </w:p>
    <w:p>
      <w:pPr>
        <w:pStyle w:val="null3"/>
        <w:jc w:val="both"/>
      </w:pPr>
      <w:r>
        <w:rPr>
          <w:sz w:val="21"/>
        </w:rPr>
        <w:t>注：以上违约金与赔偿金额累计不得超过本项目的采购预算。</w:t>
      </w:r>
    </w:p>
    <w:p>
      <w:pPr>
        <w:pStyle w:val="null3"/>
        <w:jc w:val="both"/>
      </w:pPr>
      <w:r>
        <w:rPr>
          <w:sz w:val="21"/>
          <w:b/>
        </w:rPr>
        <w:t>九</w:t>
      </w:r>
      <w:r>
        <w:rPr>
          <w:sz w:val="21"/>
          <w:b/>
        </w:rPr>
        <w:t>、提出异议的时间和方法：</w:t>
      </w:r>
    </w:p>
    <w:p>
      <w:pPr>
        <w:pStyle w:val="null3"/>
        <w:jc w:val="both"/>
      </w:pPr>
      <w:r>
        <w:rPr>
          <w:sz w:val="21"/>
        </w:rPr>
        <w:t>1.甲方有异议时，应</w:t>
      </w:r>
      <w:r>
        <w:rPr>
          <w:sz w:val="21"/>
          <w:u w:val="single"/>
        </w:rPr>
        <w:t>15</w:t>
      </w:r>
      <w:r>
        <w:rPr>
          <w:sz w:val="21"/>
        </w:rPr>
        <w:t>天内向乙方提出书面异议。</w:t>
      </w:r>
    </w:p>
    <w:p>
      <w:pPr>
        <w:pStyle w:val="null3"/>
        <w:jc w:val="both"/>
      </w:pPr>
      <w:r>
        <w:rPr>
          <w:sz w:val="21"/>
        </w:rPr>
        <w:t>2.乙方在接到甲方书面异议后，应在3天内负责处理并函复甲方处理情况，否则，即视为默认甲方提出的异议和处理意见。</w:t>
      </w:r>
    </w:p>
    <w:p>
      <w:pPr>
        <w:pStyle w:val="null3"/>
        <w:jc w:val="both"/>
      </w:pPr>
      <w:r>
        <w:rPr>
          <w:sz w:val="21"/>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b/>
        </w:rPr>
        <w:t>十</w:t>
      </w:r>
      <w:r>
        <w:rPr>
          <w:sz w:val="21"/>
          <w:b/>
        </w:rPr>
        <w:t>、争议的解决</w:t>
      </w:r>
    </w:p>
    <w:p>
      <w:pPr>
        <w:pStyle w:val="null3"/>
        <w:jc w:val="both"/>
      </w:pPr>
      <w:r>
        <w:rPr>
          <w:sz w:val="21"/>
        </w:rPr>
        <w:t>1.合同履行过程中发生的任何争议，如双方未能通过友好协商解决，应向佛山市有管辖权的人民法院提起诉讼。</w:t>
      </w:r>
    </w:p>
    <w:p>
      <w:pPr>
        <w:pStyle w:val="null3"/>
        <w:jc w:val="both"/>
      </w:pPr>
      <w:r>
        <w:rPr>
          <w:sz w:val="21"/>
        </w:rPr>
        <w:t>2.法院审理期间，除提交法院审理的事项外，其它无争议的事项和条款仍应继续履行。</w:t>
      </w:r>
    </w:p>
    <w:p>
      <w:pPr>
        <w:pStyle w:val="null3"/>
        <w:jc w:val="both"/>
      </w:pPr>
      <w:r>
        <w:rPr>
          <w:sz w:val="21"/>
          <w:b/>
        </w:rPr>
        <w:t>十一、不可抗力</w:t>
      </w:r>
    </w:p>
    <w:p>
      <w:pPr>
        <w:pStyle w:val="null3"/>
        <w:ind w:firstLine="480"/>
        <w:jc w:val="both"/>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w:t>
      </w:r>
      <w:r>
        <w:rPr>
          <w:sz w:val="21"/>
          <w:b/>
        </w:rPr>
        <w:t>二</w:t>
      </w:r>
      <w:r>
        <w:rPr>
          <w:sz w:val="21"/>
          <w:b/>
        </w:rPr>
        <w:t>、税费</w:t>
      </w:r>
    </w:p>
    <w:p>
      <w:pPr>
        <w:pStyle w:val="null3"/>
        <w:jc w:val="both"/>
      </w:pPr>
      <w:r>
        <w:rPr>
          <w:sz w:val="21"/>
        </w:rPr>
        <w:t>1.本合同实施过程中所发生的一切税费及不可预见费均由乙方承担。</w:t>
      </w:r>
    </w:p>
    <w:p>
      <w:pPr>
        <w:pStyle w:val="null3"/>
        <w:jc w:val="both"/>
      </w:pPr>
      <w:r>
        <w:rPr>
          <w:sz w:val="21"/>
        </w:rPr>
        <w:t>2.乙方依照税务规章优先在合同履约地开具发票及纳税，咨询：0757-12366。</w:t>
      </w:r>
    </w:p>
    <w:p>
      <w:pPr>
        <w:pStyle w:val="null3"/>
        <w:jc w:val="both"/>
      </w:pPr>
      <w:r>
        <w:rPr>
          <w:sz w:val="21"/>
          <w:b/>
        </w:rPr>
        <w:t>十</w:t>
      </w:r>
      <w:r>
        <w:rPr>
          <w:sz w:val="21"/>
          <w:b/>
        </w:rPr>
        <w:t>三</w:t>
      </w:r>
      <w:r>
        <w:rPr>
          <w:sz w:val="21"/>
          <w:b/>
        </w:rPr>
        <w:t>、合同生效</w:t>
      </w:r>
    </w:p>
    <w:p>
      <w:pPr>
        <w:pStyle w:val="null3"/>
        <w:jc w:val="both"/>
      </w:pPr>
      <w:r>
        <w:rPr>
          <w:sz w:val="21"/>
        </w:rPr>
        <w:t>1.本合同在甲乙双方法人代表或其授权代表签字盖章后生效。</w:t>
      </w:r>
    </w:p>
    <w:p>
      <w:pPr>
        <w:pStyle w:val="null3"/>
        <w:jc w:val="both"/>
      </w:pPr>
      <w:r>
        <w:rPr>
          <w:sz w:val="21"/>
          <w:b/>
        </w:rPr>
        <w:t>十</w:t>
      </w:r>
      <w:r>
        <w:rPr>
          <w:sz w:val="21"/>
          <w:b/>
        </w:rPr>
        <w:t>四</w:t>
      </w:r>
      <w:r>
        <w:rPr>
          <w:sz w:val="21"/>
          <w:b/>
        </w:rPr>
        <w:t>、乙方应提供的资料内容</w:t>
      </w:r>
    </w:p>
    <w:p>
      <w:pPr>
        <w:pStyle w:val="null3"/>
        <w:ind w:firstLine="480"/>
        <w:jc w:val="both"/>
      </w:pPr>
      <w:r>
        <w:rPr>
          <w:u w:val="single"/>
        </w:rPr>
        <w:t xml:space="preserve">                                                          </w:t>
      </w:r>
      <w:r>
        <w:rPr>
          <w:sz w:val="21"/>
        </w:rPr>
        <w:t>。</w:t>
      </w:r>
    </w:p>
    <w:p>
      <w:pPr>
        <w:pStyle w:val="null3"/>
        <w:jc w:val="both"/>
      </w:pPr>
      <w:r>
        <w:rPr>
          <w:sz w:val="21"/>
          <w:b/>
        </w:rPr>
        <w:t>十</w:t>
      </w:r>
      <w:r>
        <w:rPr>
          <w:sz w:val="21"/>
          <w:b/>
        </w:rPr>
        <w:t>五</w:t>
      </w:r>
      <w:r>
        <w:rPr>
          <w:sz w:val="21"/>
          <w:b/>
        </w:rPr>
        <w:t>、关于政府采购合同融资</w:t>
      </w:r>
    </w:p>
    <w:p>
      <w:pPr>
        <w:pStyle w:val="null3"/>
        <w:jc w:val="both"/>
      </w:pPr>
      <w:r>
        <w:rPr>
          <w:sz w:val="21"/>
        </w:rPr>
        <w:t>1.乙方是否已申请政府采购合同融资：</w:t>
      </w:r>
      <w:r>
        <w:rPr>
          <w:sz w:val="21"/>
          <w:u w:val="single"/>
        </w:rPr>
        <w:t>是</w:t>
      </w:r>
      <w:r>
        <w:rPr>
          <w:sz w:val="21"/>
          <w:u w:val="single"/>
        </w:rPr>
        <w:t xml:space="preserve">  </w:t>
      </w:r>
      <w:r>
        <w:rPr>
          <w:sz w:val="21"/>
          <w:u w:val="single"/>
        </w:rPr>
        <w:t>/ 否</w:t>
      </w:r>
      <w:r>
        <w:rPr>
          <w:sz w:val="21"/>
        </w:rPr>
        <w:t>；</w:t>
      </w:r>
    </w:p>
    <w:p>
      <w:pPr>
        <w:pStyle w:val="null3"/>
        <w:jc w:val="both"/>
      </w:pPr>
      <w:r>
        <w:rPr>
          <w:sz w:val="21"/>
        </w:rPr>
        <w:t>2.融资银行及联系方式：</w:t>
      </w:r>
      <w:r>
        <w:rPr>
          <w:u w:val="single"/>
        </w:rPr>
        <w:t xml:space="preserve">                                              </w:t>
      </w:r>
      <w:r>
        <w:rPr>
          <w:sz w:val="21"/>
        </w:rPr>
        <w:t>。</w:t>
      </w:r>
    </w:p>
    <w:p>
      <w:pPr>
        <w:pStyle w:val="null3"/>
        <w:jc w:val="both"/>
      </w:pPr>
      <w:r>
        <w:rPr>
          <w:sz w:val="21"/>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1"/>
          <w:b/>
        </w:rPr>
        <w:t>十</w:t>
      </w:r>
      <w:r>
        <w:rPr>
          <w:sz w:val="21"/>
          <w:b/>
        </w:rPr>
        <w:t>六</w:t>
      </w:r>
      <w:r>
        <w:rPr>
          <w:sz w:val="21"/>
          <w:b/>
        </w:rPr>
        <w:t>、其它</w:t>
      </w:r>
    </w:p>
    <w:p>
      <w:pPr>
        <w:pStyle w:val="null3"/>
        <w:jc w:val="both"/>
      </w:pPr>
      <w:r>
        <w:rPr>
          <w:sz w:val="21"/>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1"/>
        </w:rPr>
        <w:t>2.如一方（包括联系人）地址、电话、传真号码有变更，应在变更后3个工作日内书面通知对方联系人或负责人，否则，因此造成的损失由未履行通知义务方承担相应责任。</w:t>
      </w:r>
    </w:p>
    <w:p>
      <w:pPr>
        <w:pStyle w:val="null3"/>
        <w:jc w:val="both"/>
      </w:pPr>
      <w:r>
        <w:rPr>
          <w:sz w:val="21"/>
        </w:rPr>
        <w:t>3.未经甲方书面同意，乙方不得擅自向第三方转让其主体性和关键性合同义务。</w:t>
      </w:r>
    </w:p>
    <w:p>
      <w:pPr>
        <w:pStyle w:val="null3"/>
        <w:jc w:val="both"/>
      </w:pPr>
      <w:r>
        <w:rPr>
          <w:sz w:val="21"/>
        </w:rPr>
        <w:t>4.本合同一式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w:t>
      </w:r>
    </w:p>
    <w:p>
      <w:pPr>
        <w:pStyle w:val="null3"/>
        <w:jc w:val="both"/>
      </w:pPr>
      <w:r>
        <w:rPr>
          <w:sz w:val="21"/>
        </w:rPr>
        <w:t>5.本合同（含附件）共计</w:t>
      </w:r>
      <w:r>
        <w:rPr>
          <w:u w:val="single"/>
        </w:rPr>
        <w:t xml:space="preserve">  </w:t>
      </w:r>
      <w:r>
        <w:rPr>
          <w:sz w:val="21"/>
        </w:rPr>
        <w:t>页，缺页之合同为无效合同。</w:t>
      </w:r>
    </w:p>
    <w:p>
      <w:pPr>
        <w:pStyle w:val="null3"/>
        <w:jc w:val="both"/>
      </w:pPr>
      <w:r>
        <w:rPr>
          <w:sz w:val="21"/>
        </w:rPr>
        <w:t>6.本合同签约履约地点：广东省佛山市。</w:t>
      </w:r>
    </w:p>
    <w:p>
      <w:pPr>
        <w:pStyle w:val="null3"/>
        <w:jc w:val="both"/>
      </w:pPr>
      <w:r>
        <w:rPr>
          <w:sz w:val="21"/>
        </w:rPr>
        <w:t>7.本合同所指“书面通知”包括但不限于短信、电子邮件等数据电文的通知形式，到达时间以民事诉讼法的规定为准，但进行书面通知前后，通知方均有义务电话确认通知事项。</w:t>
      </w:r>
    </w:p>
    <w:p>
      <w:pPr>
        <w:pStyle w:val="null3"/>
        <w:jc w:val="both"/>
      </w:pPr>
      <w:r>
        <w:rPr>
          <w:sz w:val="21"/>
        </w:rPr>
        <w:t>8.双方均已对以上各条款及附件作充分了解，并明确理解由此而产生的相关权责。</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4221"/>
        <w:gridCol w:w="3949"/>
        <w:gridCol w:w="136"/>
      </w:tblGrid>
      <w:tr>
        <w:tc>
          <w:tcPr>
            <w:tcW w:type="dxa" w:w="4221"/>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39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1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4221"/>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85"/>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开户行：</w:t>
            </w:r>
          </w:p>
        </w:tc>
      </w:tr>
    </w:tbl>
    <w:p>
      <w:pPr>
        <w:pStyle w:val="null3"/>
        <w:jc w:val="both"/>
      </w:pPr>
      <w:r>
        <w:rPr>
          <w:sz w:val="21"/>
          <w:b/>
        </w:rPr>
        <w:t>合同附件清单：</w:t>
      </w:r>
    </w:p>
    <w:p>
      <w:pPr>
        <w:pStyle w:val="null3"/>
        <w:jc w:val="both"/>
      </w:pPr>
      <w:r>
        <w:rPr>
          <w:sz w:val="21"/>
          <w:b/>
          <w:color w:val="222222"/>
        </w:rPr>
        <w:t>附件一、《报价清单明细表》</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440601-2024-03012</w:t>
      </w:r>
    </w:p>
    <w:p>
      <w:pPr>
        <w:pStyle w:val="null3"/>
        <w:jc w:val="center"/>
        <w:outlineLvl w:val="3"/>
      </w:pPr>
      <w:r>
        <w:rPr>
          <w:sz w:val="24"/>
          <w:b/>
        </w:rPr>
        <w:t>采购项目编号：</w:t>
      </w:r>
      <w:r>
        <w:rPr>
          <w:sz w:val="24"/>
          <w:b/>
        </w:rPr>
        <w:t>GDZC-24JC158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广东中采招标有限公司</w:t>
      </w:r>
    </w:p>
    <w:p>
      <w:pPr>
        <w:pStyle w:val="null3"/>
        <w:ind w:firstLine="480"/>
      </w:pPr>
      <w:r>
        <w:rPr/>
        <w:t xml:space="preserve"> 你方组织的</w:t>
      </w:r>
      <w:r>
        <w:rPr>
          <w:u w:val="single"/>
        </w:rPr>
        <w:t>“</w:t>
      </w:r>
      <w:r>
        <w:rPr>
          <w:u w:val="single"/>
        </w:rPr>
        <w:t>佛山市教育局信息化项目安全等级保护测评服务（2024年）项目</w:t>
      </w:r>
      <w:r>
        <w:rPr>
          <w:u w:val="single"/>
        </w:rPr>
        <w:t>”</w:t>
      </w:r>
      <w:r>
        <w:rPr/>
        <w:t>项目的竞争性磋商[采购项目编号为：</w:t>
      </w:r>
      <w:r>
        <w:rPr>
          <w:u w:val="single"/>
        </w:rPr>
        <w:t>GDZC-24JC158</w:t>
      </w:r>
      <w:r>
        <w:rPr/>
        <w:t>]，我方愿参与响应。</w:t>
      </w:r>
    </w:p>
    <w:p>
      <w:pPr>
        <w:pStyle w:val="null3"/>
        <w:ind w:firstLine="480"/>
      </w:pPr>
      <w:r>
        <w:rPr/>
        <w:t>我方确认收到贵方提供的</w:t>
      </w:r>
      <w:r>
        <w:rPr>
          <w:u w:val="single"/>
        </w:rPr>
        <w:t>“</w:t>
      </w:r>
      <w:r>
        <w:rPr>
          <w:u w:val="single"/>
        </w:rPr>
        <w:t>佛山市教育局信息化项目安全等级保护测评服务（2024年）项目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佛山市教育局信息化项目安全等级保护测评服务（2024年）项目</w:t>
      </w:r>
      <w:r>
        <w:rPr/>
        <w:t>”项目采购[采购项目编号为</w:t>
      </w:r>
      <w:r>
        <w:rPr/>
        <w:t>GDZC-24JC158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佛山市教育局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广东中采招标有限公司</w:t>
      </w:r>
    </w:p>
    <w:p>
      <w:pPr>
        <w:pStyle w:val="null3"/>
        <w:ind w:firstLine="480"/>
      </w:pPr>
      <w:r>
        <w:rPr/>
        <w:t>我单位参加贵公司组织的</w:t>
      </w:r>
      <w:r>
        <w:rPr/>
        <w:t>佛山市教育局信息化项目安全等级保护测评服务（2024年）项目</w:t>
      </w:r>
      <w:r>
        <w:rPr/>
        <w:t>（采购项目编号：</w:t>
      </w:r>
      <w:r>
        <w:rPr/>
        <w:t>GDZC-24JC158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佛山市教育局信息化项目安全等级保护测评服务（2024年）项目</w:t>
      </w:r>
      <w:r>
        <w:rPr/>
        <w:t>”项目（采购项目编号：</w:t>
      </w:r>
      <w:r>
        <w:rPr/>
        <w:t>GDZC-24JC158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