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5"/>
        <w:jc w:val="center"/>
        <w:rPr>
          <w:rFonts w:ascii="方正小标宋简体" w:hAnsi="仿宋" w:eastAsia="方正小标宋简体"/>
          <w:sz w:val="44"/>
          <w:szCs w:val="44"/>
        </w:rPr>
      </w:pPr>
      <w:bookmarkStart w:id="0" w:name="_GoBack"/>
      <w:bookmarkEnd w:id="0"/>
    </w:p>
    <w:p>
      <w:pPr>
        <w:spacing w:line="560" w:lineRule="exact"/>
        <w:ind w:firstLine="645"/>
        <w:jc w:val="center"/>
        <w:rPr>
          <w:rFonts w:ascii="方正小标宋简体" w:hAnsi="仿宋" w:eastAsia="方正小标宋简体"/>
          <w:sz w:val="44"/>
          <w:szCs w:val="44"/>
        </w:rPr>
      </w:pPr>
    </w:p>
    <w:p>
      <w:pPr>
        <w:spacing w:line="560" w:lineRule="exact"/>
        <w:ind w:firstLine="645"/>
        <w:jc w:val="center"/>
        <w:rPr>
          <w:rFonts w:ascii="方正小标宋简体" w:hAnsi="仿宋" w:eastAsia="方正小标宋简体"/>
          <w:sz w:val="44"/>
          <w:szCs w:val="44"/>
        </w:rPr>
      </w:pPr>
      <w:r>
        <w:rPr>
          <w:rFonts w:hint="eastAsia" w:ascii="方正小标宋简体" w:hAnsi="仿宋" w:eastAsia="方正小标宋简体"/>
          <w:sz w:val="44"/>
          <w:szCs w:val="44"/>
        </w:rPr>
        <w:t>佛山市非户籍常住人口子女申请入读</w:t>
      </w:r>
    </w:p>
    <w:p>
      <w:pPr>
        <w:spacing w:line="560" w:lineRule="exact"/>
        <w:ind w:firstLine="645"/>
        <w:jc w:val="center"/>
        <w:rPr>
          <w:rFonts w:ascii="方正小标宋简体" w:hAnsi="仿宋" w:eastAsia="方正小标宋简体"/>
          <w:sz w:val="44"/>
          <w:szCs w:val="44"/>
        </w:rPr>
      </w:pPr>
      <w:r>
        <w:rPr>
          <w:rFonts w:hint="eastAsia" w:ascii="方正小标宋简体" w:hAnsi="仿宋" w:eastAsia="方正小标宋简体"/>
          <w:sz w:val="44"/>
          <w:szCs w:val="44"/>
        </w:rPr>
        <w:t>义务教育阶段公办学校实施办法</w:t>
      </w:r>
    </w:p>
    <w:p>
      <w:pPr>
        <w:spacing w:line="560" w:lineRule="exact"/>
        <w:ind w:firstLine="645"/>
        <w:jc w:val="center"/>
        <w:rPr>
          <w:rFonts w:ascii="方正小标宋简体" w:hAnsi="仿宋" w:eastAsia="方正小标宋简体"/>
          <w:sz w:val="44"/>
          <w:szCs w:val="44"/>
        </w:rPr>
      </w:pPr>
      <w:r>
        <w:rPr>
          <w:rFonts w:hint="eastAsia" w:ascii="方正小标宋简体" w:hAnsi="仿宋" w:eastAsia="方正小标宋简体"/>
          <w:sz w:val="44"/>
          <w:szCs w:val="44"/>
        </w:rPr>
        <w:t>（</w:t>
      </w:r>
      <w:r>
        <w:rPr>
          <w:rFonts w:ascii="方正小标宋简体" w:hAnsi="仿宋" w:eastAsia="方正小标宋简体"/>
          <w:sz w:val="44"/>
          <w:szCs w:val="44"/>
        </w:rPr>
        <w:t>2019</w:t>
      </w:r>
      <w:r>
        <w:rPr>
          <w:rFonts w:hint="eastAsia" w:ascii="方正小标宋简体" w:hAnsi="仿宋" w:eastAsia="方正小标宋简体"/>
          <w:sz w:val="44"/>
          <w:szCs w:val="44"/>
        </w:rPr>
        <w:t>年修订征求意见稿）</w:t>
      </w: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第一章</w:t>
      </w:r>
      <w:r>
        <w:rPr>
          <w:rFonts w:ascii="方正小标宋简体" w:hAnsi="宋体" w:eastAsia="方正小标宋简体"/>
          <w:sz w:val="32"/>
          <w:szCs w:val="32"/>
        </w:rPr>
        <w:t xml:space="preserve"> </w:t>
      </w:r>
      <w:r>
        <w:rPr>
          <w:rFonts w:hint="eastAsia" w:ascii="方正小标宋简体" w:hAnsi="宋体" w:eastAsia="方正小标宋简体"/>
          <w:sz w:val="32"/>
          <w:szCs w:val="32"/>
        </w:rPr>
        <w:t>总则</w:t>
      </w:r>
    </w:p>
    <w:p>
      <w:pPr>
        <w:spacing w:line="560" w:lineRule="exact"/>
        <w:ind w:firstLine="645"/>
        <w:rPr>
          <w:rFonts w:ascii="仿宋" w:hAnsi="仿宋" w:eastAsia="仿宋"/>
          <w:sz w:val="32"/>
          <w:szCs w:val="32"/>
        </w:rPr>
      </w:pPr>
      <w:r>
        <w:rPr>
          <w:rFonts w:hint="eastAsia" w:ascii="黑体" w:hAnsi="黑体" w:eastAsia="黑体"/>
          <w:sz w:val="32"/>
          <w:szCs w:val="32"/>
        </w:rPr>
        <w:t>第一条</w:t>
      </w:r>
      <w:r>
        <w:rPr>
          <w:rFonts w:ascii="黑体" w:hAnsi="黑体" w:eastAsia="黑体"/>
          <w:sz w:val="32"/>
          <w:szCs w:val="32"/>
        </w:rPr>
        <w:t xml:space="preserve"> </w:t>
      </w:r>
      <w:r>
        <w:rPr>
          <w:rFonts w:hint="eastAsia" w:ascii="仿宋" w:hAnsi="仿宋" w:eastAsia="仿宋"/>
          <w:sz w:val="32"/>
          <w:szCs w:val="32"/>
        </w:rPr>
        <w:t>为进一步规范和完善我市非户籍常住人口子女申请入读义务教育阶段公办学校政策，确保非户籍常住人口子女平等接受义务教育权利，促进教育公平，根据国务院《居住证暂行条例》《广东省流动人口服务管理条例》《广东省人民政府办公厅关于做好进城务工人员随迁子女义务教育工作的意见》《佛山市居住证实施办法》《佛山市人民政府办公室关于印发佛山市引进人才子女教育服务工作实施细则（暂行）的通知》和《佛山市人民政府办公室关于修订佛山市新市民积分制服务管理办法的通知》等文件精神，结合我市实际，修订本办法。</w:t>
      </w:r>
    </w:p>
    <w:p>
      <w:pPr>
        <w:spacing w:line="560" w:lineRule="exact"/>
        <w:ind w:firstLine="645"/>
        <w:rPr>
          <w:rFonts w:ascii="仿宋" w:hAnsi="仿宋" w:eastAsia="仿宋"/>
          <w:sz w:val="32"/>
          <w:szCs w:val="32"/>
        </w:rPr>
      </w:pPr>
      <w:r>
        <w:rPr>
          <w:rFonts w:hint="eastAsia" w:ascii="黑体" w:hAnsi="黑体" w:eastAsia="黑体"/>
          <w:sz w:val="32"/>
          <w:szCs w:val="32"/>
        </w:rPr>
        <w:t>第二条</w:t>
      </w:r>
      <w:r>
        <w:rPr>
          <w:rFonts w:ascii="仿宋" w:hAnsi="仿宋" w:eastAsia="仿宋"/>
          <w:sz w:val="32"/>
          <w:szCs w:val="32"/>
        </w:rPr>
        <w:t xml:space="preserve"> </w:t>
      </w:r>
      <w:r>
        <w:rPr>
          <w:rFonts w:hint="eastAsia" w:ascii="仿宋" w:hAnsi="仿宋" w:eastAsia="仿宋"/>
          <w:sz w:val="32"/>
          <w:szCs w:val="32"/>
        </w:rPr>
        <w:t>非户籍常住人口是指离开常住户口所在地进入本市居住的非本市户籍人员。持本市有效居住证的非户籍常住人口适龄随迁子女、持有效证明的境外人员适龄子女和父母双方或一方是本市户籍的非户籍适龄子女（以下统称：非户籍适龄儿童少年）均可申请入读我市义务教育阶段公办学校。</w:t>
      </w:r>
    </w:p>
    <w:p>
      <w:pPr>
        <w:spacing w:line="560" w:lineRule="exact"/>
        <w:ind w:firstLine="645"/>
        <w:rPr>
          <w:rFonts w:ascii="仿宋" w:hAnsi="仿宋" w:eastAsia="仿宋"/>
          <w:sz w:val="32"/>
          <w:szCs w:val="32"/>
        </w:rPr>
      </w:pPr>
      <w:r>
        <w:rPr>
          <w:rFonts w:hint="eastAsia" w:ascii="黑体" w:hAnsi="黑体" w:eastAsia="黑体"/>
          <w:sz w:val="32"/>
          <w:szCs w:val="32"/>
        </w:rPr>
        <w:t>第三条</w:t>
      </w:r>
      <w:r>
        <w:rPr>
          <w:rFonts w:ascii="黑体" w:hAnsi="黑体" w:eastAsia="黑体"/>
          <w:sz w:val="32"/>
          <w:szCs w:val="32"/>
        </w:rPr>
        <w:t xml:space="preserve"> </w:t>
      </w:r>
      <w:r>
        <w:rPr>
          <w:rFonts w:hint="eastAsia" w:ascii="仿宋" w:hAnsi="仿宋" w:eastAsia="仿宋"/>
          <w:sz w:val="32"/>
          <w:szCs w:val="32"/>
        </w:rPr>
        <w:t>非户籍适龄儿童少年申请入读我市义务教育阶段公办学校属于借读生，分为政策性借读生和普通借读生两类。</w:t>
      </w:r>
    </w:p>
    <w:p>
      <w:pPr>
        <w:spacing w:line="560" w:lineRule="exact"/>
        <w:ind w:firstLine="645"/>
        <w:rPr>
          <w:rFonts w:ascii="仿宋" w:hAnsi="仿宋" w:eastAsia="仿宋"/>
          <w:sz w:val="32"/>
          <w:szCs w:val="32"/>
        </w:rPr>
      </w:pPr>
      <w:r>
        <w:rPr>
          <w:rFonts w:hint="eastAsia" w:ascii="黑体" w:hAnsi="黑体" w:eastAsia="黑体"/>
          <w:sz w:val="32"/>
          <w:szCs w:val="32"/>
        </w:rPr>
        <w:t>第四条</w:t>
      </w:r>
      <w:r>
        <w:rPr>
          <w:rFonts w:ascii="黑体" w:hAnsi="黑体" w:eastAsia="黑体"/>
          <w:sz w:val="32"/>
          <w:szCs w:val="32"/>
        </w:rPr>
        <w:t xml:space="preserve"> </w:t>
      </w:r>
      <w:r>
        <w:rPr>
          <w:rFonts w:hint="eastAsia" w:ascii="仿宋" w:hAnsi="仿宋" w:eastAsia="仿宋"/>
          <w:sz w:val="32"/>
          <w:szCs w:val="32"/>
        </w:rPr>
        <w:t>非户籍适龄儿童少年入读义务教育阶段公办学校实行以区为主，区、镇（街）教育行政部门具体组织实施。各区政府应按照“两为主、两纳入”原则，根据常住人口适龄儿童少年入学需求，科学规划义务教育学校布局，增强义务教育优质学位供给能力，努力满足适龄儿童少年入学需求。</w:t>
      </w:r>
    </w:p>
    <w:p>
      <w:pPr>
        <w:spacing w:line="560" w:lineRule="exact"/>
        <w:ind w:firstLine="645"/>
        <w:rPr>
          <w:rFonts w:ascii="仿宋" w:hAnsi="仿宋" w:eastAsia="仿宋"/>
          <w:sz w:val="32"/>
          <w:szCs w:val="32"/>
        </w:rPr>
      </w:pPr>
      <w:r>
        <w:rPr>
          <w:rFonts w:hint="eastAsia" w:ascii="黑体" w:hAnsi="黑体" w:eastAsia="黑体"/>
          <w:sz w:val="32"/>
          <w:szCs w:val="32"/>
        </w:rPr>
        <w:t>第五条</w:t>
      </w:r>
      <w:r>
        <w:rPr>
          <w:rFonts w:ascii="仿宋" w:hAnsi="仿宋" w:eastAsia="仿宋"/>
          <w:sz w:val="32"/>
          <w:szCs w:val="32"/>
        </w:rPr>
        <w:t xml:space="preserve"> </w:t>
      </w:r>
      <w:r>
        <w:rPr>
          <w:rFonts w:hint="eastAsia" w:ascii="仿宋" w:hAnsi="仿宋" w:eastAsia="仿宋"/>
          <w:sz w:val="32"/>
          <w:szCs w:val="32"/>
        </w:rPr>
        <w:t>政策性借读生申请入读义务教育阶段公办学校由教育行政部门负责组织实施，各级教育行政部门每年制定义务教育阶段学校招生方案，明确招生计划，公布设定统一受理非户籍适龄儿童少年申请入读公办学校的时间和地点。普通借读生积分受理由新市民事务办公室负责组织实施。各级人社、民政、公安、卫计、住建、国土、市场监管、税务、外事、侨务、台港澳等相关职能部门依法履行职责，协助教育部门和新市民事务办公室审核、出具相关证明材料或核查确认。</w:t>
      </w:r>
    </w:p>
    <w:p>
      <w:pPr>
        <w:spacing w:line="560" w:lineRule="exact"/>
        <w:ind w:firstLine="645"/>
        <w:rPr>
          <w:rFonts w:ascii="仿宋" w:hAnsi="仿宋" w:eastAsia="仿宋"/>
          <w:sz w:val="32"/>
          <w:szCs w:val="32"/>
        </w:rPr>
      </w:pPr>
      <w:r>
        <w:rPr>
          <w:rFonts w:hint="eastAsia" w:ascii="黑体" w:hAnsi="黑体" w:eastAsia="黑体"/>
          <w:sz w:val="32"/>
          <w:szCs w:val="32"/>
        </w:rPr>
        <w:t>第六条</w:t>
      </w:r>
      <w:r>
        <w:rPr>
          <w:rFonts w:ascii="黑体" w:hAnsi="黑体" w:eastAsia="黑体"/>
          <w:sz w:val="32"/>
          <w:szCs w:val="32"/>
        </w:rPr>
        <w:t xml:space="preserve"> </w:t>
      </w:r>
      <w:r>
        <w:rPr>
          <w:rFonts w:hint="eastAsia" w:ascii="仿宋" w:hAnsi="仿宋" w:eastAsia="仿宋"/>
          <w:sz w:val="32"/>
          <w:szCs w:val="32"/>
        </w:rPr>
        <w:t>非户籍适龄儿童少年入读义务教育阶段公办学校应坚持公平、公开、公正原则，实行集中受理，统一管理，分类安置。在满足本市户籍适龄儿童少年入学基础上，教育行政部门根据公办学校学位情况，按照先政策性借读生，后普通借读生的原则，安排非户籍适龄儿童少年入读公办学校。</w:t>
      </w:r>
    </w:p>
    <w:p>
      <w:pPr>
        <w:spacing w:line="560" w:lineRule="exact"/>
        <w:ind w:firstLine="645"/>
        <w:rPr>
          <w:rFonts w:ascii="仿宋" w:hAnsi="仿宋" w:eastAsia="仿宋"/>
          <w:sz w:val="32"/>
          <w:szCs w:val="32"/>
        </w:rPr>
      </w:pPr>
      <w:r>
        <w:rPr>
          <w:rFonts w:hint="eastAsia" w:ascii="黑体" w:hAnsi="黑体" w:eastAsia="黑体"/>
          <w:sz w:val="32"/>
          <w:szCs w:val="32"/>
        </w:rPr>
        <w:t>第七条</w:t>
      </w:r>
      <w:r>
        <w:rPr>
          <w:rFonts w:ascii="仿宋" w:hAnsi="仿宋" w:eastAsia="仿宋"/>
          <w:sz w:val="32"/>
          <w:szCs w:val="32"/>
        </w:rPr>
        <w:t xml:space="preserve"> </w:t>
      </w:r>
      <w:r>
        <w:rPr>
          <w:rFonts w:hint="eastAsia" w:ascii="仿宋" w:hAnsi="仿宋" w:eastAsia="仿宋"/>
          <w:sz w:val="32"/>
          <w:szCs w:val="32"/>
        </w:rPr>
        <w:t>符合政策性借读生条件，申请入读义务教育阶段公办学校起始年级的，由各区、镇（街）教育行政部门按照相对就近原则统筹安置，刚性保障公办学位。符合普通借读生条件，申请入读义务教育阶段公办学校起始年级的，根据公办学校学位情况，按照积分分值高低次序统筹安排积分入围适龄儿童少年入读公办学校。</w:t>
      </w:r>
    </w:p>
    <w:p>
      <w:pPr>
        <w:spacing w:line="56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第二章</w:t>
      </w:r>
      <w:r>
        <w:rPr>
          <w:rFonts w:ascii="方正小标宋简体" w:hAnsi="宋体" w:eastAsia="方正小标宋简体"/>
          <w:sz w:val="32"/>
          <w:szCs w:val="32"/>
        </w:rPr>
        <w:t xml:space="preserve"> </w:t>
      </w:r>
      <w:r>
        <w:rPr>
          <w:rFonts w:hint="eastAsia" w:ascii="方正小标宋简体" w:hAnsi="宋体" w:eastAsia="方正小标宋简体"/>
          <w:sz w:val="32"/>
          <w:szCs w:val="32"/>
        </w:rPr>
        <w:t>借读生认定条件和办理流程</w:t>
      </w:r>
    </w:p>
    <w:p>
      <w:pPr>
        <w:spacing w:line="560" w:lineRule="exact"/>
        <w:ind w:firstLine="645"/>
        <w:rPr>
          <w:rFonts w:ascii="仿宋" w:hAnsi="仿宋" w:eastAsia="仿宋"/>
          <w:sz w:val="32"/>
          <w:szCs w:val="32"/>
        </w:rPr>
      </w:pPr>
      <w:r>
        <w:rPr>
          <w:rFonts w:hint="eastAsia" w:ascii="黑体" w:hAnsi="黑体" w:eastAsia="黑体"/>
          <w:sz w:val="32"/>
          <w:szCs w:val="32"/>
        </w:rPr>
        <w:t>第八条</w:t>
      </w:r>
      <w:r>
        <w:rPr>
          <w:rFonts w:ascii="仿宋" w:hAnsi="仿宋" w:eastAsia="仿宋"/>
          <w:sz w:val="32"/>
          <w:szCs w:val="32"/>
        </w:rPr>
        <w:t xml:space="preserve"> </w:t>
      </w:r>
      <w:r>
        <w:rPr>
          <w:rFonts w:hint="eastAsia" w:ascii="仿宋" w:hAnsi="仿宋" w:eastAsia="仿宋"/>
          <w:sz w:val="32"/>
          <w:szCs w:val="32"/>
        </w:rPr>
        <w:t>符合下列条件之一，在我市居住的非户籍适龄儿童少年可申请认定为政策性借读生。</w:t>
      </w:r>
    </w:p>
    <w:p>
      <w:pPr>
        <w:spacing w:line="560" w:lineRule="exact"/>
        <w:ind w:firstLine="645"/>
        <w:rPr>
          <w:rFonts w:ascii="仿宋" w:hAnsi="仿宋" w:eastAsia="仿宋"/>
          <w:sz w:val="32"/>
          <w:szCs w:val="32"/>
        </w:rPr>
      </w:pPr>
      <w:r>
        <w:rPr>
          <w:rFonts w:hint="eastAsia" w:ascii="仿宋" w:hAnsi="仿宋" w:eastAsia="仿宋"/>
          <w:sz w:val="32"/>
          <w:szCs w:val="32"/>
        </w:rPr>
        <w:t>（一）父母双方均为现役军人或支援边疆建设或从事地质勘探等长期野外工作，委托本市户籍居民照顾（监护）的适龄子女。</w:t>
      </w:r>
    </w:p>
    <w:p>
      <w:pPr>
        <w:spacing w:line="560" w:lineRule="exact"/>
        <w:ind w:firstLine="645"/>
        <w:rPr>
          <w:rFonts w:ascii="仿宋" w:hAnsi="仿宋" w:eastAsia="仿宋"/>
          <w:sz w:val="32"/>
          <w:szCs w:val="32"/>
        </w:rPr>
      </w:pPr>
      <w:r>
        <w:rPr>
          <w:rFonts w:hint="eastAsia" w:ascii="仿宋" w:hAnsi="仿宋" w:eastAsia="仿宋"/>
          <w:sz w:val="32"/>
          <w:szCs w:val="32"/>
        </w:rPr>
        <w:t>（二）公安烈士、公安英模和因公牺牲、一级至四级因公伤残公安民警以及因公殉职基层干部的适龄子女。</w:t>
      </w:r>
    </w:p>
    <w:p>
      <w:pPr>
        <w:spacing w:line="560" w:lineRule="exact"/>
        <w:ind w:firstLine="645"/>
        <w:rPr>
          <w:rFonts w:ascii="仿宋" w:hAnsi="仿宋" w:eastAsia="仿宋"/>
          <w:sz w:val="32"/>
          <w:szCs w:val="32"/>
        </w:rPr>
      </w:pPr>
      <w:r>
        <w:rPr>
          <w:rFonts w:hint="eastAsia" w:ascii="仿宋" w:hAnsi="仿宋" w:eastAsia="仿宋"/>
          <w:sz w:val="32"/>
          <w:szCs w:val="32"/>
        </w:rPr>
        <w:t>（三）本市优抚对象的适龄子女。</w:t>
      </w:r>
    </w:p>
    <w:p>
      <w:pPr>
        <w:spacing w:line="560" w:lineRule="exact"/>
        <w:ind w:firstLine="645"/>
        <w:rPr>
          <w:rFonts w:ascii="仿宋" w:hAnsi="仿宋" w:eastAsia="仿宋"/>
          <w:sz w:val="32"/>
          <w:szCs w:val="32"/>
        </w:rPr>
      </w:pPr>
      <w:r>
        <w:rPr>
          <w:rFonts w:hint="eastAsia" w:ascii="仿宋" w:hAnsi="仿宋" w:eastAsia="仿宋"/>
          <w:sz w:val="32"/>
          <w:szCs w:val="32"/>
        </w:rPr>
        <w:t>（四）本市户籍居民合法收养的适龄子女。</w:t>
      </w:r>
    </w:p>
    <w:p>
      <w:pPr>
        <w:spacing w:line="560" w:lineRule="exact"/>
        <w:ind w:firstLine="645"/>
        <w:rPr>
          <w:rFonts w:ascii="仿宋" w:hAnsi="仿宋" w:eastAsia="仿宋"/>
          <w:sz w:val="32"/>
          <w:szCs w:val="32"/>
        </w:rPr>
      </w:pPr>
      <w:r>
        <w:rPr>
          <w:rFonts w:hint="eastAsia" w:ascii="仿宋" w:hAnsi="仿宋" w:eastAsia="仿宋"/>
          <w:sz w:val="32"/>
          <w:szCs w:val="32"/>
        </w:rPr>
        <w:t>（五）父母均长期患重病或失去监护子女能力的残疾人，委托本市户籍居民照顾（监护）的适龄子女。</w:t>
      </w:r>
    </w:p>
    <w:p>
      <w:pPr>
        <w:spacing w:line="560" w:lineRule="exact"/>
        <w:ind w:firstLine="645"/>
        <w:rPr>
          <w:rFonts w:ascii="仿宋" w:hAnsi="仿宋" w:eastAsia="仿宋"/>
          <w:sz w:val="32"/>
          <w:szCs w:val="32"/>
        </w:rPr>
      </w:pPr>
      <w:r>
        <w:rPr>
          <w:rFonts w:hint="eastAsia" w:ascii="仿宋" w:hAnsi="仿宋" w:eastAsia="仿宋"/>
          <w:sz w:val="32"/>
          <w:szCs w:val="32"/>
        </w:rPr>
        <w:t>（六）符合《教育部国家发展改革委财政部关于进藏干部职工子女内地就学享受当地生源同等待遇的意见》（教民〔</w:t>
      </w:r>
      <w:r>
        <w:rPr>
          <w:rFonts w:ascii="仿宋" w:hAnsi="仿宋" w:eastAsia="仿宋"/>
          <w:sz w:val="32"/>
          <w:szCs w:val="32"/>
        </w:rPr>
        <w:t>2011</w:t>
      </w:r>
      <w:r>
        <w:rPr>
          <w:rFonts w:hint="eastAsia" w:ascii="仿宋" w:hAnsi="仿宋" w:eastAsia="仿宋"/>
          <w:sz w:val="32"/>
          <w:szCs w:val="32"/>
        </w:rPr>
        <w:t>〕</w:t>
      </w:r>
      <w:r>
        <w:rPr>
          <w:rFonts w:ascii="仿宋" w:hAnsi="仿宋" w:eastAsia="仿宋"/>
          <w:sz w:val="32"/>
          <w:szCs w:val="32"/>
        </w:rPr>
        <w:t>8</w:t>
      </w:r>
      <w:r>
        <w:rPr>
          <w:rFonts w:hint="eastAsia" w:ascii="仿宋" w:hAnsi="仿宋" w:eastAsia="仿宋"/>
          <w:sz w:val="32"/>
          <w:szCs w:val="32"/>
        </w:rPr>
        <w:t>号）规定的进藏干部职工适龄子女。</w:t>
      </w:r>
    </w:p>
    <w:p>
      <w:pPr>
        <w:spacing w:line="560" w:lineRule="exact"/>
        <w:ind w:firstLine="645"/>
        <w:rPr>
          <w:rFonts w:ascii="仿宋" w:hAnsi="仿宋" w:eastAsia="仿宋"/>
          <w:sz w:val="32"/>
          <w:szCs w:val="32"/>
        </w:rPr>
      </w:pPr>
      <w:r>
        <w:rPr>
          <w:rFonts w:hint="eastAsia" w:ascii="仿宋" w:hAnsi="仿宋" w:eastAsia="仿宋"/>
          <w:sz w:val="32"/>
          <w:szCs w:val="32"/>
        </w:rPr>
        <w:t>（七）符合《佛山市重点产业人才引进培育暂行办法》规定，经市人力资源和社会保障局认定（或评定）的</w:t>
      </w:r>
      <w:r>
        <w:rPr>
          <w:rFonts w:ascii="仿宋" w:hAnsi="仿宋" w:eastAsia="仿宋"/>
          <w:sz w:val="32"/>
          <w:szCs w:val="32"/>
        </w:rPr>
        <w:t>A</w:t>
      </w:r>
      <w:r>
        <w:rPr>
          <w:rFonts w:hint="eastAsia" w:ascii="仿宋" w:hAnsi="仿宋" w:eastAsia="仿宋"/>
          <w:sz w:val="32"/>
          <w:szCs w:val="32"/>
        </w:rPr>
        <w:t>、</w:t>
      </w:r>
      <w:r>
        <w:rPr>
          <w:rFonts w:ascii="仿宋" w:hAnsi="仿宋" w:eastAsia="仿宋"/>
          <w:sz w:val="32"/>
          <w:szCs w:val="32"/>
        </w:rPr>
        <w:t>B</w:t>
      </w:r>
      <w:r>
        <w:rPr>
          <w:rFonts w:hint="eastAsia" w:ascii="仿宋" w:hAnsi="仿宋" w:eastAsia="仿宋"/>
          <w:sz w:val="32"/>
          <w:szCs w:val="32"/>
        </w:rPr>
        <w:t>类人才适龄子女。</w:t>
      </w:r>
    </w:p>
    <w:p>
      <w:pPr>
        <w:spacing w:line="560" w:lineRule="exact"/>
        <w:ind w:firstLine="645"/>
        <w:rPr>
          <w:rFonts w:ascii="仿宋" w:hAnsi="仿宋" w:eastAsia="仿宋"/>
          <w:sz w:val="32"/>
          <w:szCs w:val="32"/>
        </w:rPr>
      </w:pPr>
      <w:r>
        <w:rPr>
          <w:rFonts w:hint="eastAsia" w:ascii="仿宋" w:hAnsi="仿宋" w:eastAsia="仿宋"/>
          <w:sz w:val="32"/>
          <w:szCs w:val="32"/>
        </w:rPr>
        <w:t>（八）符合《佛山市人民政府办公室关于进一步加大博士后工作扶持力度的意见》（佛府办〔</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13</w:t>
      </w:r>
      <w:r>
        <w:rPr>
          <w:rFonts w:hint="eastAsia" w:ascii="仿宋" w:hAnsi="仿宋" w:eastAsia="仿宋"/>
          <w:sz w:val="32"/>
          <w:szCs w:val="32"/>
        </w:rPr>
        <w:t>号）规定，本市博士后载体在站博士后及出站后留在本市工作的博士后适龄子女。</w:t>
      </w:r>
    </w:p>
    <w:p>
      <w:pPr>
        <w:spacing w:line="560" w:lineRule="exact"/>
        <w:ind w:firstLine="645"/>
        <w:rPr>
          <w:rFonts w:ascii="仿宋" w:hAnsi="仿宋" w:eastAsia="仿宋"/>
          <w:sz w:val="32"/>
          <w:szCs w:val="32"/>
        </w:rPr>
      </w:pPr>
      <w:r>
        <w:rPr>
          <w:rFonts w:hint="eastAsia" w:ascii="仿宋" w:hAnsi="仿宋" w:eastAsia="仿宋"/>
          <w:sz w:val="32"/>
          <w:szCs w:val="32"/>
        </w:rPr>
        <w:t>（九）本市按规定引进，并经市人力资源和社会保障局资格认定，具有博士研究生学位或副高以上专业技术职称人才适龄子女。</w:t>
      </w:r>
    </w:p>
    <w:p>
      <w:pPr>
        <w:spacing w:line="560" w:lineRule="exact"/>
        <w:ind w:firstLine="645"/>
        <w:rPr>
          <w:rFonts w:ascii="仿宋" w:hAnsi="仿宋" w:eastAsia="仿宋"/>
          <w:sz w:val="32"/>
          <w:szCs w:val="32"/>
        </w:rPr>
      </w:pPr>
      <w:r>
        <w:rPr>
          <w:rFonts w:hint="eastAsia" w:ascii="仿宋" w:hAnsi="仿宋" w:eastAsia="仿宋"/>
          <w:sz w:val="32"/>
          <w:szCs w:val="32"/>
        </w:rPr>
        <w:t>（十）在本市居住或工作的持有广东省人才优粤</w:t>
      </w:r>
      <w:r>
        <w:rPr>
          <w:rFonts w:ascii="仿宋" w:hAnsi="仿宋" w:eastAsia="仿宋"/>
          <w:sz w:val="32"/>
          <w:szCs w:val="32"/>
        </w:rPr>
        <w:t>A</w:t>
      </w:r>
      <w:r>
        <w:rPr>
          <w:rFonts w:hint="eastAsia" w:ascii="仿宋" w:hAnsi="仿宋" w:eastAsia="仿宋"/>
          <w:sz w:val="32"/>
          <w:szCs w:val="32"/>
        </w:rPr>
        <w:t>、</w:t>
      </w:r>
      <w:r>
        <w:rPr>
          <w:rFonts w:ascii="仿宋" w:hAnsi="仿宋" w:eastAsia="仿宋"/>
          <w:sz w:val="32"/>
          <w:szCs w:val="32"/>
        </w:rPr>
        <w:t>B</w:t>
      </w:r>
      <w:r>
        <w:rPr>
          <w:rFonts w:hint="eastAsia" w:ascii="仿宋" w:hAnsi="仿宋" w:eastAsia="仿宋"/>
          <w:sz w:val="32"/>
          <w:szCs w:val="32"/>
        </w:rPr>
        <w:t>卡的适龄子女。</w:t>
      </w:r>
    </w:p>
    <w:p>
      <w:pPr>
        <w:spacing w:line="560" w:lineRule="exact"/>
        <w:ind w:firstLine="645"/>
        <w:rPr>
          <w:rFonts w:ascii="仿宋" w:hAnsi="仿宋" w:eastAsia="仿宋"/>
          <w:sz w:val="32"/>
          <w:szCs w:val="32"/>
        </w:rPr>
      </w:pPr>
      <w:r>
        <w:rPr>
          <w:rFonts w:hint="eastAsia" w:ascii="仿宋" w:hAnsi="仿宋" w:eastAsia="仿宋"/>
          <w:sz w:val="32"/>
          <w:szCs w:val="32"/>
        </w:rPr>
        <w:t>（十一）符合《中共佛山市委关于印发</w:t>
      </w:r>
      <w:r>
        <w:rPr>
          <w:rFonts w:ascii="仿宋" w:hAnsi="仿宋" w:eastAsia="仿宋"/>
          <w:sz w:val="32"/>
          <w:szCs w:val="32"/>
        </w:rPr>
        <w:t>&lt;</w:t>
      </w:r>
      <w:r>
        <w:rPr>
          <w:rFonts w:hint="eastAsia" w:ascii="仿宋" w:hAnsi="仿宋" w:eastAsia="仿宋"/>
          <w:sz w:val="32"/>
          <w:szCs w:val="32"/>
        </w:rPr>
        <w:t>佛山市人才发展体制机制改革实施意见</w:t>
      </w:r>
      <w:r>
        <w:rPr>
          <w:rFonts w:ascii="仿宋" w:hAnsi="仿宋" w:eastAsia="仿宋"/>
          <w:sz w:val="32"/>
          <w:szCs w:val="32"/>
        </w:rPr>
        <w:t>&gt;</w:t>
      </w:r>
      <w:r>
        <w:rPr>
          <w:rFonts w:hint="eastAsia" w:ascii="仿宋" w:hAnsi="仿宋" w:eastAsia="仿宋"/>
          <w:sz w:val="32"/>
          <w:szCs w:val="32"/>
        </w:rPr>
        <w:t>的通知》（佛发</w:t>
      </w:r>
      <w:r>
        <w:rPr>
          <w:rFonts w:ascii="仿宋" w:hAnsi="仿宋" w:eastAsia="仿宋"/>
          <w:sz w:val="32"/>
          <w:szCs w:val="32"/>
        </w:rPr>
        <w:t>[2018]2</w:t>
      </w:r>
      <w:r>
        <w:rPr>
          <w:rFonts w:hint="eastAsia" w:ascii="仿宋" w:hAnsi="仿宋" w:eastAsia="仿宋"/>
          <w:sz w:val="32"/>
          <w:szCs w:val="32"/>
        </w:rPr>
        <w:t>号）规定，我市新引进领军人才适龄子女。</w:t>
      </w:r>
    </w:p>
    <w:p>
      <w:pPr>
        <w:spacing w:line="560" w:lineRule="exact"/>
        <w:ind w:firstLine="645"/>
        <w:rPr>
          <w:rFonts w:ascii="仿宋" w:hAnsi="仿宋" w:eastAsia="仿宋"/>
          <w:sz w:val="32"/>
          <w:szCs w:val="32"/>
        </w:rPr>
      </w:pPr>
      <w:r>
        <w:rPr>
          <w:rFonts w:hint="eastAsia" w:ascii="仿宋" w:hAnsi="仿宋" w:eastAsia="仿宋"/>
          <w:sz w:val="32"/>
          <w:szCs w:val="32"/>
        </w:rPr>
        <w:t>（十二）本市区级以上政府认可的有突出贡献的非户籍人士适龄子女。</w:t>
      </w:r>
    </w:p>
    <w:p>
      <w:pPr>
        <w:spacing w:line="560" w:lineRule="exact"/>
        <w:ind w:firstLine="645"/>
        <w:rPr>
          <w:rFonts w:ascii="仿宋" w:hAnsi="仿宋" w:eastAsia="仿宋"/>
          <w:sz w:val="32"/>
          <w:szCs w:val="32"/>
        </w:rPr>
      </w:pPr>
      <w:r>
        <w:rPr>
          <w:rFonts w:hint="eastAsia" w:ascii="仿宋" w:hAnsi="仿宋" w:eastAsia="仿宋"/>
          <w:sz w:val="32"/>
          <w:szCs w:val="32"/>
        </w:rPr>
        <w:t>（十三）在本市投资的项目竣工投产或开业、营业两年以上，项目投资额不低于</w:t>
      </w:r>
      <w:r>
        <w:rPr>
          <w:rFonts w:ascii="仿宋" w:hAnsi="仿宋" w:eastAsia="仿宋"/>
          <w:sz w:val="32"/>
          <w:szCs w:val="32"/>
        </w:rPr>
        <w:t>50</w:t>
      </w:r>
      <w:r>
        <w:rPr>
          <w:rFonts w:hint="eastAsia" w:ascii="仿宋" w:hAnsi="仿宋" w:eastAsia="仿宋"/>
          <w:sz w:val="32"/>
          <w:szCs w:val="32"/>
        </w:rPr>
        <w:t>万美元的外商和港澳台人士或项目投资额不低于</w:t>
      </w:r>
      <w:r>
        <w:rPr>
          <w:rFonts w:ascii="仿宋" w:hAnsi="仿宋" w:eastAsia="仿宋"/>
          <w:sz w:val="32"/>
          <w:szCs w:val="32"/>
        </w:rPr>
        <w:t>200</w:t>
      </w:r>
      <w:r>
        <w:rPr>
          <w:rFonts w:hint="eastAsia" w:ascii="仿宋" w:hAnsi="仿宋" w:eastAsia="仿宋"/>
          <w:sz w:val="32"/>
          <w:szCs w:val="32"/>
        </w:rPr>
        <w:t>万元人民币的非户籍人士适龄子女。</w:t>
      </w:r>
    </w:p>
    <w:p>
      <w:pPr>
        <w:spacing w:line="560" w:lineRule="exact"/>
        <w:ind w:firstLine="645"/>
        <w:rPr>
          <w:rFonts w:ascii="仿宋" w:hAnsi="仿宋" w:eastAsia="仿宋"/>
          <w:sz w:val="32"/>
          <w:szCs w:val="32"/>
        </w:rPr>
      </w:pPr>
      <w:r>
        <w:rPr>
          <w:rFonts w:hint="eastAsia" w:ascii="仿宋" w:hAnsi="仿宋" w:eastAsia="仿宋"/>
          <w:sz w:val="32"/>
          <w:szCs w:val="32"/>
        </w:rPr>
        <w:t>（十四）在本市居住的华侨人士适龄子女。</w:t>
      </w:r>
    </w:p>
    <w:p>
      <w:pPr>
        <w:spacing w:line="560" w:lineRule="exact"/>
        <w:ind w:firstLine="645"/>
        <w:rPr>
          <w:rFonts w:ascii="仿宋" w:hAnsi="仿宋" w:eastAsia="仿宋"/>
          <w:sz w:val="32"/>
          <w:szCs w:val="32"/>
        </w:rPr>
      </w:pPr>
      <w:r>
        <w:rPr>
          <w:rFonts w:hint="eastAsia" w:ascii="仿宋" w:hAnsi="仿宋" w:eastAsia="仿宋"/>
          <w:sz w:val="32"/>
          <w:szCs w:val="32"/>
        </w:rPr>
        <w:t>（十五）在本市居住的台湾人士适龄子女。</w:t>
      </w:r>
    </w:p>
    <w:p>
      <w:pPr>
        <w:spacing w:line="560" w:lineRule="exact"/>
        <w:ind w:firstLine="645"/>
        <w:rPr>
          <w:rFonts w:ascii="仿宋" w:hAnsi="仿宋" w:eastAsia="仿宋"/>
          <w:sz w:val="32"/>
          <w:szCs w:val="32"/>
        </w:rPr>
      </w:pPr>
      <w:r>
        <w:rPr>
          <w:rFonts w:hint="eastAsia" w:ascii="仿宋" w:hAnsi="仿宋" w:eastAsia="仿宋"/>
          <w:sz w:val="32"/>
          <w:szCs w:val="32"/>
        </w:rPr>
        <w:t>（十六）在本市同一区内连续居住并依法缴纳社会保险费满</w:t>
      </w:r>
      <w:r>
        <w:rPr>
          <w:rFonts w:ascii="仿宋" w:hAnsi="仿宋" w:eastAsia="仿宋"/>
          <w:sz w:val="32"/>
          <w:szCs w:val="32"/>
        </w:rPr>
        <w:t>5</w:t>
      </w:r>
      <w:r>
        <w:rPr>
          <w:rFonts w:hint="eastAsia" w:ascii="仿宋" w:hAnsi="仿宋" w:eastAsia="仿宋"/>
          <w:sz w:val="32"/>
          <w:szCs w:val="32"/>
        </w:rPr>
        <w:t>年以上（含</w:t>
      </w:r>
      <w:r>
        <w:rPr>
          <w:rFonts w:ascii="仿宋" w:hAnsi="仿宋" w:eastAsia="仿宋"/>
          <w:sz w:val="32"/>
          <w:szCs w:val="32"/>
        </w:rPr>
        <w:t>5</w:t>
      </w:r>
      <w:r>
        <w:rPr>
          <w:rFonts w:hint="eastAsia" w:ascii="仿宋" w:hAnsi="仿宋" w:eastAsia="仿宋"/>
          <w:sz w:val="32"/>
          <w:szCs w:val="32"/>
        </w:rPr>
        <w:t>年），有固定住址、有合法就业或经营证明的非户籍人士适龄子女。</w:t>
      </w:r>
    </w:p>
    <w:p>
      <w:pPr>
        <w:spacing w:line="560" w:lineRule="exact"/>
        <w:ind w:firstLine="645"/>
        <w:rPr>
          <w:rFonts w:ascii="仿宋" w:hAnsi="仿宋" w:eastAsia="仿宋"/>
          <w:sz w:val="32"/>
          <w:szCs w:val="32"/>
        </w:rPr>
      </w:pPr>
      <w:r>
        <w:rPr>
          <w:rFonts w:hint="eastAsia" w:ascii="仿宋" w:hAnsi="仿宋" w:eastAsia="仿宋"/>
          <w:sz w:val="32"/>
          <w:szCs w:val="32"/>
        </w:rPr>
        <w:t>（十七）父母一方是本市户籍的非户籍适龄子女。</w:t>
      </w:r>
    </w:p>
    <w:p>
      <w:pPr>
        <w:spacing w:line="560" w:lineRule="exact"/>
        <w:ind w:firstLine="645"/>
        <w:rPr>
          <w:rFonts w:ascii="仿宋" w:hAnsi="仿宋" w:eastAsia="仿宋"/>
          <w:sz w:val="32"/>
          <w:szCs w:val="32"/>
        </w:rPr>
      </w:pPr>
      <w:r>
        <w:rPr>
          <w:rFonts w:hint="eastAsia" w:ascii="黑体" w:hAnsi="黑体" w:eastAsia="黑体"/>
          <w:sz w:val="32"/>
          <w:szCs w:val="32"/>
        </w:rPr>
        <w:t>第九条</w:t>
      </w:r>
      <w:r>
        <w:rPr>
          <w:rFonts w:ascii="仿宋" w:hAnsi="仿宋" w:eastAsia="仿宋"/>
          <w:sz w:val="32"/>
          <w:szCs w:val="32"/>
        </w:rPr>
        <w:t xml:space="preserve"> </w:t>
      </w:r>
      <w:r>
        <w:rPr>
          <w:rFonts w:hint="eastAsia" w:ascii="仿宋" w:hAnsi="仿宋" w:eastAsia="仿宋"/>
          <w:sz w:val="32"/>
          <w:szCs w:val="32"/>
        </w:rPr>
        <w:t>不符合上述条件，持本市有效居住证的非户籍常住人口适龄子女可申请普通借读生，通过办理积分申请入读我市义务教育阶段公办学校，具体办法按照《佛山市人民政府办公室关于修订佛山市新市民积分制服务管理办法的通知》（佛府办</w:t>
      </w:r>
      <w:r>
        <w:rPr>
          <w:rFonts w:ascii="仿宋" w:hAnsi="仿宋" w:eastAsia="仿宋"/>
          <w:sz w:val="32"/>
          <w:szCs w:val="32"/>
        </w:rPr>
        <w:t>[2018]45</w:t>
      </w:r>
      <w:r>
        <w:rPr>
          <w:rFonts w:hint="eastAsia" w:ascii="仿宋" w:hAnsi="仿宋" w:eastAsia="仿宋"/>
          <w:sz w:val="32"/>
          <w:szCs w:val="32"/>
        </w:rPr>
        <w:t>号）执行。</w:t>
      </w:r>
    </w:p>
    <w:p>
      <w:pPr>
        <w:spacing w:line="560" w:lineRule="exact"/>
        <w:ind w:firstLine="645"/>
        <w:rPr>
          <w:rFonts w:ascii="仿宋" w:hAnsi="仿宋" w:eastAsia="仿宋"/>
          <w:sz w:val="32"/>
          <w:szCs w:val="32"/>
        </w:rPr>
      </w:pPr>
      <w:r>
        <w:rPr>
          <w:rFonts w:hint="eastAsia" w:ascii="黑体" w:hAnsi="黑体" w:eastAsia="黑体"/>
          <w:sz w:val="32"/>
          <w:szCs w:val="32"/>
        </w:rPr>
        <w:t>第十条</w:t>
      </w:r>
      <w:r>
        <w:rPr>
          <w:rFonts w:ascii="仿宋" w:hAnsi="仿宋" w:eastAsia="仿宋"/>
          <w:sz w:val="32"/>
          <w:szCs w:val="32"/>
        </w:rPr>
        <w:t xml:space="preserve"> </w:t>
      </w:r>
      <w:r>
        <w:rPr>
          <w:rFonts w:hint="eastAsia" w:ascii="仿宋" w:hAnsi="仿宋" w:eastAsia="仿宋"/>
          <w:sz w:val="32"/>
          <w:szCs w:val="32"/>
        </w:rPr>
        <w:t>符合政策性借读生条件的非户籍适龄儿童少年申请入读义务教育阶段公办学校的，根据教育行政部门规定的时间，向实际居住区、镇（街）教育行政部门提交公办学校入学申请，并向教育行政部门提交有关申请材料（见附件），接受教育行政部门审核。</w:t>
      </w:r>
    </w:p>
    <w:p>
      <w:pPr>
        <w:spacing w:line="560" w:lineRule="exact"/>
        <w:ind w:firstLine="645"/>
        <w:rPr>
          <w:rFonts w:ascii="仿宋" w:hAnsi="仿宋" w:eastAsia="仿宋"/>
          <w:sz w:val="32"/>
          <w:szCs w:val="32"/>
        </w:rPr>
      </w:pPr>
      <w:r>
        <w:rPr>
          <w:rFonts w:hint="eastAsia" w:ascii="黑体" w:hAnsi="黑体" w:eastAsia="黑体"/>
          <w:sz w:val="32"/>
          <w:szCs w:val="32"/>
        </w:rPr>
        <w:t>第十一条</w:t>
      </w:r>
      <w:r>
        <w:rPr>
          <w:rFonts w:ascii="仿宋" w:hAnsi="仿宋" w:eastAsia="仿宋"/>
          <w:sz w:val="32"/>
          <w:szCs w:val="32"/>
        </w:rPr>
        <w:t xml:space="preserve"> </w:t>
      </w:r>
      <w:r>
        <w:rPr>
          <w:rFonts w:hint="eastAsia" w:ascii="仿宋" w:hAnsi="仿宋" w:eastAsia="仿宋"/>
          <w:sz w:val="32"/>
          <w:szCs w:val="32"/>
        </w:rPr>
        <w:t>经教育行政部门审核确认符合政策性借读生的，由教育行政部门通过官方网站进行公示，公示期不少于</w:t>
      </w:r>
      <w:r>
        <w:rPr>
          <w:rFonts w:ascii="仿宋" w:hAnsi="仿宋" w:eastAsia="仿宋"/>
          <w:sz w:val="32"/>
          <w:szCs w:val="32"/>
        </w:rPr>
        <w:t>5</w:t>
      </w:r>
      <w:r>
        <w:rPr>
          <w:rFonts w:hint="eastAsia" w:ascii="仿宋" w:hAnsi="仿宋" w:eastAsia="仿宋"/>
          <w:sz w:val="32"/>
          <w:szCs w:val="32"/>
        </w:rPr>
        <w:t>个工作日，公示无异议后由教育行政部门统一发出公办学校入学通知，政策性借读生凭入学通知办理入学手续。逾期未办理入学手续被视为自动放弃公办学位。</w:t>
      </w:r>
    </w:p>
    <w:p>
      <w:pPr>
        <w:spacing w:line="560" w:lineRule="exact"/>
        <w:ind w:firstLine="645"/>
        <w:rPr>
          <w:rFonts w:ascii="仿宋" w:hAnsi="仿宋" w:eastAsia="仿宋"/>
          <w:sz w:val="32"/>
          <w:szCs w:val="32"/>
        </w:rPr>
      </w:pPr>
      <w:r>
        <w:rPr>
          <w:rFonts w:hint="eastAsia" w:ascii="黑体" w:hAnsi="黑体" w:eastAsia="黑体"/>
          <w:sz w:val="32"/>
          <w:szCs w:val="32"/>
        </w:rPr>
        <w:t>第十二条</w:t>
      </w:r>
      <w:r>
        <w:rPr>
          <w:rFonts w:ascii="仿宋" w:hAnsi="仿宋" w:eastAsia="仿宋"/>
          <w:sz w:val="32"/>
          <w:szCs w:val="32"/>
        </w:rPr>
        <w:t xml:space="preserve"> </w:t>
      </w:r>
      <w:r>
        <w:rPr>
          <w:rFonts w:hint="eastAsia" w:ascii="仿宋" w:hAnsi="仿宋" w:eastAsia="仿宋"/>
          <w:sz w:val="32"/>
          <w:szCs w:val="32"/>
        </w:rPr>
        <w:t>教育行政部门在统筹安排政策性借读生义务教育阶段公办学校学位时，凡有国家、省、市相关文件政策规定的，应按照政策执行，落实教育优待政策。</w:t>
      </w:r>
    </w:p>
    <w:p>
      <w:pPr>
        <w:spacing w:line="560" w:lineRule="exact"/>
        <w:ind w:firstLine="645"/>
        <w:rPr>
          <w:rFonts w:ascii="仿宋" w:hAnsi="仿宋" w:eastAsia="仿宋"/>
          <w:sz w:val="32"/>
          <w:szCs w:val="32"/>
        </w:rPr>
      </w:pPr>
      <w:r>
        <w:rPr>
          <w:rFonts w:hint="eastAsia" w:ascii="黑体" w:hAnsi="黑体" w:eastAsia="黑体"/>
          <w:sz w:val="32"/>
          <w:szCs w:val="32"/>
        </w:rPr>
        <w:t>第十三条</w:t>
      </w:r>
      <w:r>
        <w:rPr>
          <w:rFonts w:ascii="仿宋" w:hAnsi="仿宋" w:eastAsia="仿宋"/>
          <w:sz w:val="32"/>
          <w:szCs w:val="32"/>
        </w:rPr>
        <w:t xml:space="preserve"> </w:t>
      </w:r>
      <w:r>
        <w:rPr>
          <w:rFonts w:hint="eastAsia" w:ascii="仿宋" w:hAnsi="仿宋" w:eastAsia="仿宋"/>
          <w:sz w:val="32"/>
          <w:szCs w:val="32"/>
        </w:rPr>
        <w:t>各区教育行政部门在安排政策性借读生后，确定新市民随迁子女年度积分入读义务教育阶段公办学位的指标数，于每年</w:t>
      </w:r>
      <w:r>
        <w:rPr>
          <w:rFonts w:ascii="仿宋" w:hAnsi="仿宋" w:eastAsia="仿宋"/>
          <w:sz w:val="32"/>
          <w:szCs w:val="32"/>
        </w:rPr>
        <w:t>5</w:t>
      </w:r>
      <w:r>
        <w:rPr>
          <w:rFonts w:hint="eastAsia" w:ascii="仿宋" w:hAnsi="仿宋" w:eastAsia="仿宋"/>
          <w:sz w:val="32"/>
          <w:szCs w:val="32"/>
        </w:rPr>
        <w:t>月前向社会公布，报市教育局汇总后报市新市民事务办公室备案。</w:t>
      </w:r>
    </w:p>
    <w:p>
      <w:pPr>
        <w:spacing w:line="56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第三章</w:t>
      </w:r>
      <w:r>
        <w:rPr>
          <w:rFonts w:ascii="方正小标宋简体" w:hAnsi="宋体" w:eastAsia="方正小标宋简体"/>
          <w:sz w:val="32"/>
          <w:szCs w:val="32"/>
        </w:rPr>
        <w:t xml:space="preserve"> </w:t>
      </w:r>
      <w:r>
        <w:rPr>
          <w:rFonts w:hint="eastAsia" w:ascii="方正小标宋简体" w:hAnsi="宋体" w:eastAsia="方正小标宋简体"/>
          <w:sz w:val="32"/>
          <w:szCs w:val="32"/>
        </w:rPr>
        <w:t>监督管理</w:t>
      </w:r>
    </w:p>
    <w:p>
      <w:pPr>
        <w:spacing w:line="560" w:lineRule="exact"/>
        <w:ind w:firstLine="645"/>
        <w:rPr>
          <w:rFonts w:ascii="仿宋" w:hAnsi="仿宋" w:eastAsia="仿宋"/>
          <w:sz w:val="32"/>
          <w:szCs w:val="32"/>
        </w:rPr>
      </w:pPr>
      <w:r>
        <w:rPr>
          <w:rFonts w:hint="eastAsia" w:ascii="黑体" w:hAnsi="黑体" w:eastAsia="黑体"/>
          <w:sz w:val="32"/>
          <w:szCs w:val="32"/>
        </w:rPr>
        <w:t>第十四条</w:t>
      </w:r>
      <w:r>
        <w:rPr>
          <w:rFonts w:ascii="仿宋" w:hAnsi="仿宋" w:eastAsia="仿宋"/>
          <w:sz w:val="32"/>
          <w:szCs w:val="32"/>
        </w:rPr>
        <w:t xml:space="preserve"> </w:t>
      </w:r>
      <w:r>
        <w:rPr>
          <w:rFonts w:hint="eastAsia" w:ascii="仿宋" w:hAnsi="仿宋" w:eastAsia="仿宋"/>
          <w:sz w:val="32"/>
          <w:szCs w:val="32"/>
        </w:rPr>
        <w:t>各级教育行政部门应切实简化非户籍适龄儿童少年入学流程和证明要求，合理确定入学条件，确保符合条件的应入尽入，不得随意提高入学门槛。</w:t>
      </w:r>
    </w:p>
    <w:p>
      <w:pPr>
        <w:spacing w:line="560" w:lineRule="exact"/>
        <w:ind w:firstLine="645"/>
        <w:rPr>
          <w:rFonts w:ascii="仿宋" w:hAnsi="仿宋" w:eastAsia="仿宋"/>
          <w:sz w:val="32"/>
          <w:szCs w:val="32"/>
        </w:rPr>
      </w:pPr>
      <w:r>
        <w:rPr>
          <w:rFonts w:hint="eastAsia" w:ascii="黑体" w:hAnsi="黑体" w:eastAsia="黑体"/>
          <w:sz w:val="32"/>
          <w:szCs w:val="32"/>
        </w:rPr>
        <w:t>第十五条</w:t>
      </w:r>
      <w:r>
        <w:rPr>
          <w:rFonts w:ascii="仿宋" w:hAnsi="仿宋" w:eastAsia="仿宋"/>
          <w:sz w:val="32"/>
          <w:szCs w:val="32"/>
        </w:rPr>
        <w:t xml:space="preserve"> </w:t>
      </w:r>
      <w:r>
        <w:rPr>
          <w:rFonts w:hint="eastAsia" w:ascii="仿宋" w:hAnsi="仿宋" w:eastAsia="仿宋"/>
          <w:sz w:val="32"/>
          <w:szCs w:val="32"/>
        </w:rPr>
        <w:t>各级教育行政部门应严格落实教育部招生入学“十项严禁”，完善违规举报和申请受理机制，严肃查处违规违纪行为，切实维护非户籍适龄儿童少年入读公办学校的合法权益。</w:t>
      </w:r>
    </w:p>
    <w:p>
      <w:pPr>
        <w:spacing w:line="560" w:lineRule="exact"/>
        <w:ind w:firstLine="645"/>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非户籍适龄儿童少年申请入读义务教育阶段公办学校提供虚假证件、资料的，一经查实，取消入读公办学校资格。</w:t>
      </w:r>
    </w:p>
    <w:p>
      <w:pPr>
        <w:spacing w:line="56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第四章</w:t>
      </w:r>
      <w:r>
        <w:rPr>
          <w:rFonts w:ascii="方正小标宋简体" w:hAnsi="宋体" w:eastAsia="方正小标宋简体"/>
          <w:sz w:val="32"/>
          <w:szCs w:val="32"/>
        </w:rPr>
        <w:t xml:space="preserve">  </w:t>
      </w:r>
      <w:r>
        <w:rPr>
          <w:rFonts w:hint="eastAsia" w:ascii="方正小标宋简体" w:hAnsi="宋体" w:eastAsia="方正小标宋简体"/>
          <w:sz w:val="32"/>
          <w:szCs w:val="32"/>
        </w:rPr>
        <w:t>附则</w:t>
      </w:r>
    </w:p>
    <w:p>
      <w:pPr>
        <w:spacing w:line="560" w:lineRule="exact"/>
        <w:ind w:firstLine="645"/>
        <w:rPr>
          <w:rFonts w:ascii="仿宋" w:hAnsi="仿宋" w:eastAsia="仿宋"/>
          <w:sz w:val="32"/>
          <w:szCs w:val="32"/>
        </w:rPr>
      </w:pPr>
      <w:r>
        <w:rPr>
          <w:rFonts w:hint="eastAsia" w:ascii="黑体" w:hAnsi="黑体" w:eastAsia="黑体"/>
          <w:sz w:val="32"/>
          <w:szCs w:val="32"/>
        </w:rPr>
        <w:t>第十七条</w:t>
      </w:r>
      <w:r>
        <w:rPr>
          <w:rFonts w:ascii="仿宋" w:hAnsi="仿宋" w:eastAsia="仿宋"/>
          <w:sz w:val="32"/>
          <w:szCs w:val="32"/>
        </w:rPr>
        <w:t xml:space="preserve"> </w:t>
      </w:r>
      <w:r>
        <w:rPr>
          <w:rFonts w:hint="eastAsia" w:ascii="仿宋" w:hAnsi="仿宋" w:eastAsia="仿宋"/>
          <w:sz w:val="32"/>
          <w:szCs w:val="32"/>
        </w:rPr>
        <w:t>本办法由市教育局负责解释。</w:t>
      </w:r>
    </w:p>
    <w:p>
      <w:pPr>
        <w:spacing w:line="560" w:lineRule="exact"/>
        <w:ind w:firstLine="645"/>
        <w:rPr>
          <w:rFonts w:ascii="仿宋" w:hAnsi="仿宋" w:eastAsia="仿宋"/>
          <w:sz w:val="32"/>
          <w:szCs w:val="32"/>
        </w:rPr>
      </w:pPr>
      <w:r>
        <w:rPr>
          <w:rFonts w:hint="eastAsia" w:ascii="黑体" w:hAnsi="黑体" w:eastAsia="黑体"/>
          <w:sz w:val="32"/>
          <w:szCs w:val="32"/>
        </w:rPr>
        <w:t>第十八条</w:t>
      </w:r>
      <w:r>
        <w:rPr>
          <w:rFonts w:ascii="仿宋" w:hAnsi="仿宋" w:eastAsia="仿宋"/>
          <w:sz w:val="32"/>
          <w:szCs w:val="32"/>
        </w:rPr>
        <w:t xml:space="preserve"> </w:t>
      </w:r>
      <w:r>
        <w:rPr>
          <w:rFonts w:hint="eastAsia" w:ascii="仿宋" w:hAnsi="仿宋" w:eastAsia="仿宋"/>
          <w:sz w:val="32"/>
          <w:szCs w:val="32"/>
        </w:rPr>
        <w:t>各区可结合实际制定具体实施办法。</w:t>
      </w:r>
    </w:p>
    <w:p>
      <w:pPr>
        <w:spacing w:line="560" w:lineRule="exact"/>
        <w:ind w:firstLine="645"/>
        <w:rPr>
          <w:rFonts w:ascii="仿宋" w:hAnsi="仿宋" w:eastAsia="仿宋"/>
          <w:sz w:val="32"/>
          <w:szCs w:val="32"/>
        </w:rPr>
      </w:pPr>
      <w:r>
        <w:rPr>
          <w:rFonts w:hint="eastAsia" w:ascii="黑体" w:hAnsi="黑体" w:eastAsia="黑体"/>
          <w:sz w:val="32"/>
          <w:szCs w:val="32"/>
        </w:rPr>
        <w:t>第十九条</w:t>
      </w:r>
      <w:r>
        <w:rPr>
          <w:rFonts w:ascii="仿宋" w:hAnsi="仿宋" w:eastAsia="仿宋"/>
          <w:sz w:val="32"/>
          <w:szCs w:val="32"/>
        </w:rPr>
        <w:t xml:space="preserve"> </w:t>
      </w:r>
      <w:r>
        <w:rPr>
          <w:rFonts w:hint="eastAsia" w:ascii="仿宋" w:hAnsi="仿宋" w:eastAsia="仿宋"/>
          <w:sz w:val="32"/>
          <w:szCs w:val="32"/>
        </w:rPr>
        <w:t>本办法只适用于非户籍适龄儿童少年申请入读义务教育阶段公办学校起始年级（小学一年级或初中一年级），不适用于申请插班转学。申请插班转学的，由各区根据相关政策规定自行制定具体细则。</w:t>
      </w:r>
    </w:p>
    <w:p>
      <w:pPr>
        <w:spacing w:line="560" w:lineRule="exact"/>
        <w:ind w:firstLine="645"/>
        <w:rPr>
          <w:rFonts w:ascii="仿宋" w:hAnsi="仿宋" w:eastAsia="仿宋"/>
          <w:sz w:val="32"/>
          <w:szCs w:val="32"/>
        </w:rPr>
      </w:pPr>
      <w:r>
        <w:rPr>
          <w:rFonts w:hint="eastAsia" w:ascii="黑体" w:hAnsi="黑体" w:eastAsia="黑体"/>
          <w:sz w:val="32"/>
          <w:szCs w:val="32"/>
        </w:rPr>
        <w:t>第二十条</w:t>
      </w:r>
      <w:r>
        <w:rPr>
          <w:rFonts w:ascii="仿宋" w:hAnsi="仿宋" w:eastAsia="仿宋"/>
          <w:sz w:val="32"/>
          <w:szCs w:val="32"/>
        </w:rPr>
        <w:t xml:space="preserve"> </w:t>
      </w:r>
      <w:r>
        <w:rPr>
          <w:rFonts w:hint="eastAsia" w:ascii="仿宋" w:hAnsi="仿宋" w:eastAsia="仿宋"/>
          <w:sz w:val="32"/>
          <w:szCs w:val="32"/>
        </w:rPr>
        <w:t>本办法自发布之日起实施，有效期为五年。</w:t>
      </w:r>
    </w:p>
    <w:p>
      <w:pPr>
        <w:spacing w:line="560" w:lineRule="exact"/>
        <w:ind w:firstLine="645"/>
        <w:rPr>
          <w:rFonts w:ascii="仿宋" w:hAnsi="仿宋" w:eastAsia="仿宋"/>
          <w:sz w:val="32"/>
          <w:szCs w:val="32"/>
        </w:rPr>
      </w:pPr>
      <w:r>
        <w:rPr>
          <w:rFonts w:hint="eastAsia" w:ascii="黑体" w:hAnsi="黑体" w:eastAsia="黑体"/>
          <w:sz w:val="32"/>
          <w:szCs w:val="32"/>
        </w:rPr>
        <w:t>第二十一条</w:t>
      </w:r>
      <w:r>
        <w:rPr>
          <w:rFonts w:ascii="仿宋" w:hAnsi="仿宋" w:eastAsia="仿宋"/>
          <w:sz w:val="32"/>
          <w:szCs w:val="32"/>
        </w:rPr>
        <w:t xml:space="preserve"> </w:t>
      </w:r>
      <w:r>
        <w:rPr>
          <w:rFonts w:hint="eastAsia" w:ascii="仿宋" w:hAnsi="仿宋" w:eastAsia="仿宋"/>
          <w:sz w:val="32"/>
          <w:szCs w:val="32"/>
        </w:rPr>
        <w:t>佛山市人民政府办公室《印发佛山市非户籍常住人口子女入读义务教育公办学校实施办法的通知》（佛府办</w:t>
      </w:r>
      <w:r>
        <w:rPr>
          <w:rFonts w:ascii="仿宋" w:hAnsi="仿宋" w:eastAsia="仿宋"/>
          <w:sz w:val="32"/>
          <w:szCs w:val="32"/>
        </w:rPr>
        <w:t>[2012]36</w:t>
      </w:r>
      <w:r>
        <w:rPr>
          <w:rFonts w:hint="eastAsia" w:ascii="仿宋" w:hAnsi="仿宋" w:eastAsia="仿宋"/>
          <w:sz w:val="32"/>
          <w:szCs w:val="32"/>
        </w:rPr>
        <w:t>号）同时废止。</w:t>
      </w:r>
    </w:p>
    <w:p>
      <w:pPr>
        <w:spacing w:line="560" w:lineRule="exact"/>
        <w:ind w:firstLine="645"/>
        <w:rPr>
          <w:rFonts w:ascii="仿宋" w:hAnsi="仿宋" w:eastAsia="仿宋"/>
          <w:sz w:val="32"/>
          <w:szCs w:val="32"/>
        </w:rPr>
      </w:pPr>
      <w:r>
        <w:rPr>
          <w:rFonts w:hint="eastAsia" w:ascii="黑体" w:hAnsi="黑体" w:eastAsia="黑体"/>
          <w:sz w:val="32"/>
          <w:szCs w:val="32"/>
        </w:rPr>
        <w:t>第二十二条</w:t>
      </w:r>
      <w:r>
        <w:rPr>
          <w:rFonts w:ascii="黑体" w:hAnsi="黑体" w:eastAsia="黑体"/>
          <w:sz w:val="32"/>
          <w:szCs w:val="32"/>
        </w:rPr>
        <w:t xml:space="preserve"> </w:t>
      </w:r>
      <w:r>
        <w:rPr>
          <w:rFonts w:hint="eastAsia" w:ascii="仿宋" w:hAnsi="仿宋" w:eastAsia="仿宋"/>
          <w:sz w:val="32"/>
          <w:szCs w:val="32"/>
        </w:rPr>
        <w:t>持有本市有效期内居住证，在</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日前（含当日）已获得住宅房屋权属证书（含房屋所有权证、房地产权证、不动产权属证书）或已备案购房合同</w:t>
      </w:r>
      <w:r>
        <w:rPr>
          <w:rFonts w:ascii="仿宋" w:hAnsi="仿宋" w:eastAsia="仿宋"/>
          <w:sz w:val="32"/>
          <w:szCs w:val="32"/>
        </w:rPr>
        <w:t>,</w:t>
      </w:r>
      <w:r>
        <w:rPr>
          <w:rFonts w:hint="eastAsia" w:ascii="仿宋" w:hAnsi="仿宋" w:eastAsia="仿宋"/>
          <w:sz w:val="32"/>
          <w:szCs w:val="32"/>
        </w:rPr>
        <w:t>且建筑面积不低于</w:t>
      </w:r>
      <w:r>
        <w:rPr>
          <w:rFonts w:ascii="仿宋" w:hAnsi="仿宋" w:eastAsia="仿宋"/>
          <w:sz w:val="32"/>
          <w:szCs w:val="32"/>
        </w:rPr>
        <w:t>80</w:t>
      </w:r>
      <w:r>
        <w:rPr>
          <w:rFonts w:hint="eastAsia" w:ascii="仿宋" w:hAnsi="仿宋" w:eastAsia="仿宋"/>
          <w:sz w:val="32"/>
          <w:szCs w:val="32"/>
        </w:rPr>
        <w:t>平方米的，继续按照政策性借读生有关规定执行至</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日止。</w:t>
      </w: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r>
        <w:rPr>
          <w:rFonts w:hint="eastAsia" w:ascii="仿宋" w:hAnsi="仿宋" w:eastAsia="仿宋"/>
          <w:sz w:val="32"/>
          <w:szCs w:val="32"/>
        </w:rPr>
        <w:t>附件：政策性借读生申请入学证明材料一览表</w:t>
      </w: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pStyle w:val="15"/>
        <w:spacing w:line="480" w:lineRule="atLeast"/>
        <w:rPr>
          <w:rFonts w:ascii="仿宋" w:hAnsi="仿宋" w:eastAsia="仿宋"/>
          <w:kern w:val="2"/>
          <w:sz w:val="32"/>
          <w:szCs w:val="32"/>
        </w:rPr>
      </w:pPr>
      <w:r>
        <w:rPr>
          <w:rFonts w:hint="eastAsia" w:ascii="仿宋" w:hAnsi="仿宋" w:eastAsia="仿宋"/>
          <w:kern w:val="2"/>
          <w:sz w:val="32"/>
          <w:szCs w:val="32"/>
        </w:rPr>
        <w:t>附件：</w:t>
      </w:r>
    </w:p>
    <w:p>
      <w:pPr>
        <w:pStyle w:val="15"/>
        <w:spacing w:line="480" w:lineRule="atLeast"/>
        <w:ind w:firstLine="880" w:firstLineChars="0"/>
        <w:jc w:val="center"/>
        <w:rPr>
          <w:rFonts w:ascii="仿宋" w:hAnsi="仿宋" w:eastAsia="仿宋"/>
          <w:kern w:val="2"/>
          <w:sz w:val="44"/>
          <w:szCs w:val="44"/>
        </w:rPr>
      </w:pPr>
      <w:r>
        <w:rPr>
          <w:rFonts w:hint="eastAsia" w:ascii="仿宋" w:hAnsi="仿宋" w:eastAsia="仿宋"/>
          <w:kern w:val="2"/>
          <w:sz w:val="44"/>
          <w:szCs w:val="44"/>
        </w:rPr>
        <w:t>政策性借读生申请入学证明材料一览表</w:t>
      </w:r>
    </w:p>
    <w:tbl>
      <w:tblPr>
        <w:tblStyle w:val="9"/>
        <w:tblW w:w="9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367"/>
        <w:gridCol w:w="3975"/>
        <w:gridCol w:w="262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95" w:type="dxa"/>
          </w:tcPr>
          <w:p>
            <w:pPr>
              <w:widowControl/>
              <w:jc w:val="left"/>
              <w:rPr>
                <w:rFonts w:ascii="仿宋_GB2312"/>
                <w:kern w:val="0"/>
                <w:szCs w:val="32"/>
              </w:rPr>
            </w:pPr>
            <w:r>
              <w:rPr>
                <w:rFonts w:hint="eastAsia" w:ascii="仿宋_GB2312"/>
                <w:kern w:val="0"/>
                <w:szCs w:val="32"/>
              </w:rPr>
              <w:t>序号</w:t>
            </w:r>
          </w:p>
        </w:tc>
        <w:tc>
          <w:tcPr>
            <w:tcW w:w="367" w:type="dxa"/>
            <w:vAlign w:val="center"/>
          </w:tcPr>
          <w:p>
            <w:pPr>
              <w:widowControl/>
              <w:jc w:val="left"/>
              <w:rPr>
                <w:rFonts w:ascii="仿宋_GB2312"/>
                <w:kern w:val="0"/>
                <w:szCs w:val="32"/>
              </w:rPr>
            </w:pPr>
            <w:r>
              <w:rPr>
                <w:rFonts w:hint="eastAsia" w:ascii="仿宋_GB2312"/>
                <w:kern w:val="0"/>
                <w:szCs w:val="32"/>
              </w:rPr>
              <w:t>类别</w:t>
            </w:r>
          </w:p>
        </w:tc>
        <w:tc>
          <w:tcPr>
            <w:tcW w:w="3975" w:type="dxa"/>
            <w:vAlign w:val="center"/>
          </w:tcPr>
          <w:p>
            <w:pPr>
              <w:widowControl/>
              <w:jc w:val="center"/>
              <w:rPr>
                <w:rFonts w:ascii="仿宋_GB2312"/>
                <w:kern w:val="0"/>
                <w:szCs w:val="32"/>
              </w:rPr>
            </w:pPr>
            <w:r>
              <w:rPr>
                <w:rFonts w:hint="eastAsia" w:ascii="仿宋_GB2312"/>
                <w:kern w:val="0"/>
                <w:szCs w:val="32"/>
              </w:rPr>
              <w:t>条件</w:t>
            </w:r>
          </w:p>
        </w:tc>
        <w:tc>
          <w:tcPr>
            <w:tcW w:w="2621" w:type="dxa"/>
            <w:vAlign w:val="center"/>
          </w:tcPr>
          <w:p>
            <w:pPr>
              <w:adjustRightInd w:val="0"/>
              <w:snapToGrid w:val="0"/>
              <w:jc w:val="center"/>
              <w:rPr>
                <w:rFonts w:ascii="仿宋_GB2312"/>
                <w:kern w:val="0"/>
                <w:szCs w:val="32"/>
              </w:rPr>
            </w:pPr>
            <w:r>
              <w:rPr>
                <w:rFonts w:hint="eastAsia" w:ascii="仿宋_GB2312"/>
                <w:kern w:val="0"/>
                <w:szCs w:val="32"/>
              </w:rPr>
              <w:t>报名提交基本材料</w:t>
            </w:r>
          </w:p>
        </w:tc>
        <w:tc>
          <w:tcPr>
            <w:tcW w:w="1640" w:type="dxa"/>
            <w:vAlign w:val="center"/>
          </w:tcPr>
          <w:p>
            <w:pPr>
              <w:adjustRightInd w:val="0"/>
              <w:snapToGrid w:val="0"/>
              <w:jc w:val="center"/>
              <w:rPr>
                <w:rFonts w:ascii="仿宋_GB2312"/>
                <w:kern w:val="0"/>
                <w:szCs w:val="32"/>
              </w:rPr>
            </w:pPr>
            <w:r>
              <w:rPr>
                <w:rFonts w:hint="eastAsia" w:ascii="仿宋_GB2312"/>
                <w:kern w:val="0"/>
                <w:szCs w:val="32"/>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1</w:t>
            </w:r>
          </w:p>
        </w:tc>
        <w:tc>
          <w:tcPr>
            <w:tcW w:w="367" w:type="dxa"/>
            <w:vMerge w:val="restart"/>
            <w:vAlign w:val="center"/>
          </w:tcPr>
          <w:p>
            <w:pPr>
              <w:adjustRightInd w:val="0"/>
              <w:snapToGrid w:val="0"/>
              <w:rPr>
                <w:rFonts w:ascii="仿宋_GB2312" w:eastAsia="仿宋_GB2312"/>
                <w:b/>
                <w:kern w:val="0"/>
                <w:szCs w:val="32"/>
              </w:rPr>
            </w:pPr>
            <w:r>
              <w:rPr>
                <w:rFonts w:hint="eastAsia" w:ascii="仿宋_GB2312" w:eastAsia="仿宋_GB2312"/>
                <w:b/>
                <w:szCs w:val="32"/>
              </w:rPr>
              <w:t>优抚群体类</w:t>
            </w: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父母双方均为现役军人或支援边疆建设或从事地质勘探等长期野外工作，委托本市户籍居民照顾（监护）的适龄子女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市厅（局）级或军分区证明；子女与父母（或一方）同户的户口簿或</w:t>
            </w:r>
            <w:r>
              <w:rPr>
                <w:rFonts w:hint="eastAsia" w:ascii="仿宋_GB2312" w:hAnsi="宋体" w:eastAsia="仿宋_GB2312" w:cs="宋体"/>
                <w:color w:val="000000"/>
                <w:kern w:val="0"/>
                <w:szCs w:val="21"/>
              </w:rPr>
              <w:t>子女与父母</w:t>
            </w:r>
            <w:r>
              <w:rPr>
                <w:rFonts w:hint="eastAsia" w:ascii="仿宋_GB2312" w:hAnsi="宋体" w:eastAsia="仿宋_GB2312" w:cs="宋体"/>
                <w:kern w:val="0"/>
                <w:szCs w:val="21"/>
              </w:rPr>
              <w:t>关系证明；委托监护公证书</w:t>
            </w:r>
          </w:p>
        </w:tc>
        <w:tc>
          <w:tcPr>
            <w:tcW w:w="1640" w:type="dxa"/>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2</w:t>
            </w:r>
          </w:p>
        </w:tc>
        <w:tc>
          <w:tcPr>
            <w:tcW w:w="367" w:type="dxa"/>
            <w:vMerge w:val="continue"/>
            <w:vAlign w:val="center"/>
          </w:tcPr>
          <w:p>
            <w:pPr>
              <w:adjustRightInd w:val="0"/>
              <w:snapToGrid w:val="0"/>
              <w:rPr>
                <w:rFonts w:ascii="仿宋_GB2312" w:eastAsia="仿宋_GB2312"/>
                <w:b/>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公安烈士、公安英模和因公牺牲、一级至四级因公伤残公安民警以及因公殉职基层干部的适龄子女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公安局或人社部门相关证明；子女与父母（或一方）同户的户口簿或子女与父母关系证明</w:t>
            </w:r>
          </w:p>
        </w:tc>
        <w:tc>
          <w:tcPr>
            <w:tcW w:w="1640" w:type="dxa"/>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3</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本市优抚对象的适龄子女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《佛山市优抚对象优待证》；本市监护人户口簿</w:t>
            </w:r>
          </w:p>
        </w:tc>
        <w:tc>
          <w:tcPr>
            <w:tcW w:w="1640" w:type="dxa"/>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4</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本市户籍居民合法收养的适龄子女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《收养登记证》；本市户籍收养人户口簿</w:t>
            </w:r>
          </w:p>
        </w:tc>
        <w:tc>
          <w:tcPr>
            <w:tcW w:w="1640" w:type="dxa"/>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5</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父母均长期患重病或失去监护子女能力的残疾人，委托本市户籍居民照顾（监护）的适龄子女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市民政局或市残联证明或区级以上医院危重病证明书；本市户籍照顾（监护）人户口簿；委托监护公证书</w:t>
            </w:r>
          </w:p>
        </w:tc>
        <w:tc>
          <w:tcPr>
            <w:tcW w:w="1640" w:type="dxa"/>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szCs w:val="32"/>
              </w:rPr>
              <w:t>6</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符合《教育部国家发展改革委财政部关于进藏干部职工子女内地就学享受当地生源同等待遇的意见》（教民〔</w:t>
            </w:r>
            <w:r>
              <w:rPr>
                <w:rFonts w:ascii="仿宋_GB2312" w:hAnsi="宋体" w:eastAsia="仿宋_GB2312" w:cs="宋体"/>
                <w:color w:val="000000"/>
                <w:kern w:val="0"/>
                <w:szCs w:val="21"/>
              </w:rPr>
              <w:t>2011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8</w:t>
            </w:r>
            <w:r>
              <w:rPr>
                <w:rFonts w:hint="eastAsia" w:ascii="仿宋_GB2312" w:hAnsi="宋体" w:eastAsia="仿宋_GB2312" w:cs="宋体"/>
                <w:color w:val="000000"/>
                <w:kern w:val="0"/>
                <w:szCs w:val="21"/>
              </w:rPr>
              <w:t>号）规定的进藏干部职工适龄子女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32"/>
              </w:rPr>
            </w:pPr>
            <w:r>
              <w:rPr>
                <w:rFonts w:hint="eastAsia" w:ascii="仿宋_GB2312" w:eastAsia="仿宋_GB2312"/>
                <w:kern w:val="0"/>
                <w:szCs w:val="32"/>
              </w:rPr>
              <w:t>各区、镇（街）向进藏干部派出单位确认核查身份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szCs w:val="32"/>
              </w:rPr>
              <w:t>7</w:t>
            </w:r>
          </w:p>
          <w:p>
            <w:pPr>
              <w:adjustRightInd w:val="0"/>
              <w:snapToGrid w:val="0"/>
              <w:rPr>
                <w:rFonts w:ascii="仿宋_GB2312" w:eastAsia="仿宋_GB2312"/>
                <w:kern w:val="0"/>
                <w:szCs w:val="32"/>
              </w:rPr>
            </w:pPr>
          </w:p>
        </w:tc>
        <w:tc>
          <w:tcPr>
            <w:tcW w:w="367" w:type="dxa"/>
            <w:vMerge w:val="restart"/>
            <w:vAlign w:val="center"/>
          </w:tcPr>
          <w:p>
            <w:pPr>
              <w:adjustRightInd w:val="0"/>
              <w:snapToGrid w:val="0"/>
              <w:rPr>
                <w:rFonts w:ascii="仿宋_GB2312" w:eastAsia="仿宋_GB2312"/>
                <w:b/>
                <w:kern w:val="0"/>
                <w:szCs w:val="32"/>
              </w:rPr>
            </w:pPr>
            <w:r>
              <w:rPr>
                <w:rFonts w:hint="eastAsia" w:ascii="仿宋_GB2312" w:eastAsia="仿宋_GB2312"/>
                <w:b/>
                <w:kern w:val="0"/>
                <w:szCs w:val="32"/>
              </w:rPr>
              <w:t>引进人才类</w:t>
            </w:r>
          </w:p>
        </w:tc>
        <w:tc>
          <w:tcPr>
            <w:tcW w:w="3975" w:type="dxa"/>
            <w:vAlign w:val="center"/>
          </w:tcPr>
          <w:p>
            <w:pPr>
              <w:widowControl/>
              <w:jc w:val="left"/>
              <w:rPr>
                <w:rFonts w:ascii="仿宋_GB2312" w:hAnsi="宋体" w:eastAsia="仿宋_GB2312" w:cs="宋体"/>
                <w:szCs w:val="21"/>
              </w:rPr>
            </w:pPr>
            <w:r>
              <w:rPr>
                <w:rFonts w:hint="eastAsia" w:ascii="仿宋_GB2312" w:hAnsi="宋体" w:eastAsia="仿宋_GB2312" w:cs="宋体"/>
                <w:kern w:val="0"/>
                <w:szCs w:val="21"/>
              </w:rPr>
              <w:t>符合</w:t>
            </w:r>
            <w:r>
              <w:rPr>
                <w:rFonts w:hint="eastAsia" w:ascii="仿宋_GB2312" w:hAnsi="宋体" w:eastAsia="仿宋_GB2312" w:cs="宋体"/>
                <w:szCs w:val="21"/>
              </w:rPr>
              <w:t>《佛山市重点产业人才引进培育暂行办法》</w:t>
            </w:r>
            <w:r>
              <w:rPr>
                <w:rFonts w:hint="eastAsia" w:ascii="仿宋_GB2312" w:hAnsi="宋体" w:eastAsia="仿宋_GB2312" w:cs="宋体"/>
                <w:kern w:val="0"/>
                <w:szCs w:val="21"/>
              </w:rPr>
              <w:t>规定，经市人力资源和社会保障局</w:t>
            </w:r>
            <w:r>
              <w:rPr>
                <w:rFonts w:hint="eastAsia" w:ascii="仿宋_GB2312" w:hAnsi="宋体" w:eastAsia="仿宋_GB2312" w:cs="宋体"/>
                <w:szCs w:val="21"/>
              </w:rPr>
              <w:t>认定（或评定）的</w:t>
            </w:r>
            <w:r>
              <w:rPr>
                <w:rFonts w:ascii="仿宋_GB2312" w:hAnsi="宋体" w:eastAsia="仿宋_GB2312" w:cs="宋体"/>
                <w:szCs w:val="21"/>
              </w:rPr>
              <w:t>A</w:t>
            </w:r>
            <w:r>
              <w:rPr>
                <w:rFonts w:hint="eastAsia" w:ascii="仿宋_GB2312" w:hAnsi="宋体" w:eastAsia="仿宋_GB2312" w:cs="宋体"/>
                <w:szCs w:val="21"/>
              </w:rPr>
              <w:t>、</w:t>
            </w:r>
            <w:r>
              <w:rPr>
                <w:rFonts w:ascii="仿宋_GB2312" w:hAnsi="宋体" w:eastAsia="仿宋_GB2312" w:cs="宋体"/>
                <w:szCs w:val="21"/>
              </w:rPr>
              <w:t>B</w:t>
            </w:r>
            <w:r>
              <w:rPr>
                <w:rFonts w:hint="eastAsia" w:ascii="仿宋_GB2312" w:hAnsi="宋体" w:eastAsia="仿宋_GB2312" w:cs="宋体"/>
                <w:szCs w:val="21"/>
              </w:rPr>
              <w:t>类人才适龄子女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有效期内居住证；《佛山市引进人才子女教育服务申请表》；</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8</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符合《佛山市人民政府办公室关于进一步加大博士后工作扶持力度的意见》（佛府办〔</w:t>
            </w:r>
            <w:r>
              <w:rPr>
                <w:rFonts w:ascii="仿宋_GB2312" w:hAnsi="宋体" w:eastAsia="仿宋_GB2312" w:cs="宋体"/>
                <w:kern w:val="0"/>
                <w:szCs w:val="21"/>
              </w:rPr>
              <w:t>2016</w:t>
            </w:r>
            <w:r>
              <w:rPr>
                <w:rFonts w:hint="eastAsia" w:ascii="仿宋_GB2312" w:hAnsi="宋体" w:eastAsia="仿宋_GB2312" w:cs="宋体"/>
                <w:kern w:val="0"/>
                <w:szCs w:val="21"/>
              </w:rPr>
              <w:t>〕</w:t>
            </w:r>
            <w:r>
              <w:rPr>
                <w:rFonts w:ascii="仿宋_GB2312" w:hAnsi="宋体" w:eastAsia="仿宋_GB2312" w:cs="宋体"/>
                <w:kern w:val="0"/>
                <w:szCs w:val="21"/>
              </w:rPr>
              <w:t>13</w:t>
            </w:r>
            <w:r>
              <w:rPr>
                <w:rFonts w:hint="eastAsia" w:ascii="仿宋_GB2312" w:hAnsi="宋体" w:eastAsia="仿宋_GB2312" w:cs="宋体"/>
                <w:kern w:val="0"/>
                <w:szCs w:val="21"/>
              </w:rPr>
              <w:t>号）规定，本市博士后载体在站博士后及出站后留在本市工作的博士后适龄子女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有效期内居住证；《佛山市引进人才子女教育服务申请表》；</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szCs w:val="32"/>
              </w:rPr>
            </w:pPr>
            <w:r>
              <w:rPr>
                <w:rFonts w:ascii="仿宋_GB2312" w:eastAsia="仿宋_GB2312"/>
                <w:szCs w:val="32"/>
              </w:rPr>
              <w:t>9</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本市按规定引进，并</w:t>
            </w:r>
            <w:r>
              <w:rPr>
                <w:rFonts w:hint="eastAsia" w:ascii="仿宋_GB2312" w:hAnsi="宋体" w:eastAsia="仿宋_GB2312" w:cs="宋体"/>
                <w:kern w:val="0"/>
                <w:szCs w:val="21"/>
              </w:rPr>
              <w:t>经市人力资源和社会保障局资格认定，具有</w:t>
            </w:r>
            <w:r>
              <w:rPr>
                <w:rFonts w:hint="eastAsia" w:ascii="仿宋_GB2312" w:hAnsi="宋体" w:eastAsia="仿宋_GB2312" w:cs="宋体"/>
                <w:color w:val="000000"/>
                <w:kern w:val="0"/>
                <w:szCs w:val="21"/>
              </w:rPr>
              <w:t>博士研究生学位或副高以上专业技术职称人才适龄子女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有效期内居住证；引进人才的学历或职称证书；</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10</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在本市居住或工作的持有广东省人才优粤</w:t>
            </w:r>
            <w:r>
              <w:rPr>
                <w:rFonts w:ascii="仿宋_GB2312" w:hAnsi="宋体" w:eastAsia="仿宋_GB2312" w:cs="宋体"/>
                <w:color w:val="000000"/>
                <w:kern w:val="0"/>
                <w:szCs w:val="21"/>
              </w:rPr>
              <w:t>A</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B</w:t>
            </w:r>
            <w:r>
              <w:rPr>
                <w:rFonts w:hint="eastAsia" w:ascii="仿宋_GB2312" w:hAnsi="宋体" w:eastAsia="仿宋_GB2312" w:cs="宋体"/>
                <w:color w:val="000000"/>
                <w:kern w:val="0"/>
                <w:szCs w:val="21"/>
              </w:rPr>
              <w:t>卡的适龄子女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有效期内居住证；省人才服务主管部门核发的</w:t>
            </w:r>
            <w:r>
              <w:rPr>
                <w:rFonts w:hint="eastAsia" w:ascii="仿宋_GB2312" w:hAnsi="宋体" w:eastAsia="仿宋_GB2312" w:cs="宋体"/>
                <w:color w:val="000000"/>
                <w:kern w:val="0"/>
                <w:szCs w:val="21"/>
              </w:rPr>
              <w:t>人才“优粤卡”；子女</w:t>
            </w:r>
            <w:r>
              <w:rPr>
                <w:rFonts w:hint="eastAsia" w:ascii="仿宋_GB2312" w:hAnsi="宋体" w:eastAsia="仿宋_GB2312" w:cs="宋体"/>
                <w:kern w:val="0"/>
                <w:szCs w:val="21"/>
              </w:rPr>
              <w:t>与父母（或一方）同户的户口簿</w:t>
            </w:r>
            <w:r>
              <w:rPr>
                <w:rFonts w:hint="eastAsia" w:ascii="仿宋_GB2312" w:hAnsi="宋体" w:eastAsia="仿宋_GB2312" w:cs="宋体"/>
                <w:color w:val="000000"/>
                <w:kern w:val="0"/>
                <w:szCs w:val="21"/>
              </w:rPr>
              <w:t>或子女与父母关系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szCs w:val="32"/>
              </w:rPr>
            </w:pPr>
            <w:r>
              <w:rPr>
                <w:rFonts w:ascii="仿宋_GB2312" w:eastAsia="仿宋_GB2312"/>
                <w:szCs w:val="32"/>
              </w:rPr>
              <w:t>11</w:t>
            </w:r>
          </w:p>
        </w:tc>
        <w:tc>
          <w:tcPr>
            <w:tcW w:w="367" w:type="dxa"/>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符合《中共佛山市委关于印发</w:t>
            </w:r>
            <w:r>
              <w:rPr>
                <w:rFonts w:ascii="仿宋_GB2312" w:hAnsi="宋体" w:eastAsia="仿宋_GB2312" w:cs="宋体"/>
                <w:color w:val="000000"/>
                <w:kern w:val="0"/>
                <w:szCs w:val="21"/>
              </w:rPr>
              <w:t>&lt;</w:t>
            </w:r>
            <w:r>
              <w:rPr>
                <w:rFonts w:hint="eastAsia" w:ascii="仿宋_GB2312" w:hAnsi="宋体" w:eastAsia="仿宋_GB2312" w:cs="宋体"/>
                <w:color w:val="000000"/>
                <w:kern w:val="0"/>
                <w:szCs w:val="21"/>
              </w:rPr>
              <w:t>佛山市人才发展体制机制改革实施意见</w:t>
            </w:r>
            <w:r>
              <w:rPr>
                <w:rFonts w:ascii="仿宋_GB2312" w:hAnsi="宋体" w:eastAsia="仿宋_GB2312" w:cs="宋体"/>
                <w:color w:val="000000"/>
                <w:kern w:val="0"/>
                <w:szCs w:val="21"/>
              </w:rPr>
              <w:t>&gt;</w:t>
            </w:r>
            <w:r>
              <w:rPr>
                <w:rFonts w:hint="eastAsia" w:ascii="仿宋_GB2312" w:hAnsi="宋体" w:eastAsia="仿宋_GB2312" w:cs="宋体"/>
                <w:color w:val="000000"/>
                <w:kern w:val="0"/>
                <w:szCs w:val="21"/>
              </w:rPr>
              <w:t>的通知》</w:t>
            </w:r>
            <w:r>
              <w:rPr>
                <w:rFonts w:hint="eastAsia" w:ascii="仿宋_GB2312" w:hAnsi="宋体" w:eastAsia="仿宋_GB2312" w:cs="宋体"/>
                <w:kern w:val="0"/>
                <w:szCs w:val="21"/>
              </w:rPr>
              <w:t>（</w:t>
            </w:r>
            <w:r>
              <w:rPr>
                <w:rFonts w:hint="eastAsia" w:ascii="仿宋_GB2312" w:hAnsi="宋体" w:eastAsia="仿宋_GB2312" w:cs="宋体"/>
                <w:color w:val="000000"/>
                <w:kern w:val="0"/>
                <w:szCs w:val="21"/>
              </w:rPr>
              <w:t>佛发</w:t>
            </w:r>
            <w:r>
              <w:rPr>
                <w:rFonts w:ascii="仿宋_GB2312" w:hAnsi="宋体" w:eastAsia="仿宋_GB2312" w:cs="宋体"/>
                <w:color w:val="000000"/>
                <w:kern w:val="0"/>
                <w:szCs w:val="21"/>
              </w:rPr>
              <w:t>[2018]2</w:t>
            </w:r>
            <w:r>
              <w:rPr>
                <w:rFonts w:hint="eastAsia" w:ascii="仿宋_GB2312" w:hAnsi="宋体" w:eastAsia="仿宋_GB2312" w:cs="宋体"/>
                <w:color w:val="000000"/>
                <w:kern w:val="0"/>
                <w:szCs w:val="21"/>
              </w:rPr>
              <w:t>号）规定，我市新引进领军人才适龄子女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有效期内居住证；与父母（或一方）同户的户口簿或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szCs w:val="32"/>
              </w:rPr>
            </w:pPr>
            <w:r>
              <w:rPr>
                <w:rFonts w:ascii="仿宋_GB2312" w:eastAsia="仿宋_GB2312"/>
                <w:szCs w:val="32"/>
              </w:rPr>
              <w:t>12</w:t>
            </w:r>
          </w:p>
        </w:tc>
        <w:tc>
          <w:tcPr>
            <w:tcW w:w="367" w:type="dxa"/>
            <w:vMerge w:val="restart"/>
            <w:vAlign w:val="center"/>
          </w:tcPr>
          <w:p>
            <w:pPr>
              <w:adjustRightInd w:val="0"/>
              <w:snapToGrid w:val="0"/>
              <w:rPr>
                <w:rFonts w:ascii="仿宋_GB2312" w:eastAsia="仿宋_GB2312"/>
                <w:b/>
                <w:kern w:val="0"/>
                <w:szCs w:val="32"/>
              </w:rPr>
            </w:pPr>
            <w:r>
              <w:rPr>
                <w:rFonts w:hint="eastAsia" w:ascii="仿宋_GB2312" w:eastAsia="仿宋_GB2312"/>
                <w:b/>
                <w:kern w:val="0"/>
                <w:szCs w:val="32"/>
              </w:rPr>
              <w:t>投资贡献类</w:t>
            </w: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本市区级以上政府认可的有突出贡献的非户籍人士适龄子女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有效期内居住证；荣誉市民证书或区政府认可的证明；与父母（或一方）同户的户口簿或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szCs w:val="32"/>
              </w:rPr>
              <w:t>13</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szCs w:val="21"/>
              </w:rPr>
              <w:t>在本市投资的项目竣工投产或开业、营业两年以上，项目投资额不低于</w:t>
            </w:r>
            <w:r>
              <w:rPr>
                <w:rFonts w:ascii="仿宋_GB2312" w:hAnsi="宋体" w:eastAsia="仿宋_GB2312" w:cs="宋体"/>
                <w:szCs w:val="21"/>
              </w:rPr>
              <w:t>50</w:t>
            </w:r>
            <w:r>
              <w:rPr>
                <w:rFonts w:hint="eastAsia" w:ascii="仿宋_GB2312" w:hAnsi="宋体" w:eastAsia="仿宋_GB2312" w:cs="宋体"/>
                <w:szCs w:val="21"/>
              </w:rPr>
              <w:t>万美元的外商和港澳台人士或项目投资额不低于</w:t>
            </w:r>
            <w:r>
              <w:rPr>
                <w:rFonts w:ascii="仿宋_GB2312" w:hAnsi="宋体" w:eastAsia="仿宋_GB2312" w:cs="宋体"/>
                <w:szCs w:val="21"/>
              </w:rPr>
              <w:t>200</w:t>
            </w:r>
            <w:r>
              <w:rPr>
                <w:rFonts w:hint="eastAsia" w:ascii="仿宋_GB2312" w:hAnsi="宋体" w:eastAsia="仿宋_GB2312" w:cs="宋体"/>
                <w:szCs w:val="21"/>
              </w:rPr>
              <w:t>万元人民币的非户籍人士适龄子女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有效期内居住证（外籍人士除外）；法定验资机构（会计师事务所或审计事务所）出具的验资报告；工商营业执照；子女与父母（或一方）同户的户口簿或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14</w:t>
            </w:r>
          </w:p>
        </w:tc>
        <w:tc>
          <w:tcPr>
            <w:tcW w:w="367" w:type="dxa"/>
            <w:vMerge w:val="restart"/>
            <w:vAlign w:val="center"/>
          </w:tcPr>
          <w:p>
            <w:pPr>
              <w:adjustRightInd w:val="0"/>
              <w:snapToGrid w:val="0"/>
              <w:rPr>
                <w:rFonts w:ascii="仿宋_GB2312" w:eastAsia="仿宋_GB2312"/>
                <w:b/>
                <w:kern w:val="0"/>
                <w:szCs w:val="32"/>
              </w:rPr>
            </w:pPr>
            <w:r>
              <w:rPr>
                <w:rFonts w:hint="eastAsia" w:ascii="仿宋_GB2312" w:eastAsia="仿宋_GB2312"/>
                <w:b/>
                <w:kern w:val="0"/>
                <w:szCs w:val="32"/>
              </w:rPr>
              <w:t>境外群体类</w:t>
            </w:r>
          </w:p>
        </w:tc>
        <w:tc>
          <w:tcPr>
            <w:tcW w:w="3975" w:type="dxa"/>
            <w:vAlign w:val="center"/>
          </w:tcPr>
          <w:p>
            <w:pPr>
              <w:widowControl/>
              <w:adjustRightInd w:val="0"/>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在本市居住的华侨人士适龄子女</w:t>
            </w:r>
          </w:p>
        </w:tc>
        <w:tc>
          <w:tcPr>
            <w:tcW w:w="2621"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有效期内居住证</w:t>
            </w:r>
            <w:r>
              <w:rPr>
                <w:rFonts w:hint="eastAsia" w:ascii="仿宋_GB2312" w:hAnsi="宋体" w:eastAsia="仿宋_GB2312" w:cs="宋体"/>
                <w:color w:val="000000"/>
                <w:kern w:val="0"/>
                <w:szCs w:val="21"/>
              </w:rPr>
              <w:t>；委托监护照顾的还需提供监护人户口簿及委托监护公证；子女与父母关系证明</w:t>
            </w:r>
          </w:p>
        </w:tc>
        <w:tc>
          <w:tcPr>
            <w:tcW w:w="1640" w:type="dxa"/>
            <w:vAlign w:val="center"/>
          </w:tcPr>
          <w:p>
            <w:pPr>
              <w:adjustRightInd w:val="0"/>
              <w:snapToGrid w:val="0"/>
              <w:jc w:val="left"/>
              <w:rPr>
                <w:rFonts w:ascii="仿宋_GB2312" w:eastAsia="仿宋_GB2312"/>
                <w:kern w:val="0"/>
                <w:szCs w:val="32"/>
              </w:rPr>
            </w:pPr>
            <w:r>
              <w:rPr>
                <w:rFonts w:hint="eastAsia" w:ascii="仿宋_GB2312" w:hAnsi="宋体" w:eastAsia="仿宋_GB2312" w:cs="宋体"/>
                <w:kern w:val="0"/>
                <w:szCs w:val="21"/>
              </w:rPr>
              <w:t>教育部门向申请人收取有效的《中华人民共和国护照》复印件；国外长期或永久居留证明（含中文翻译件）及中国驻外使领馆认证或公证文书〕复印件，并核对原件无误后向区侨务、外事部门确认核查身份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15</w:t>
            </w:r>
          </w:p>
        </w:tc>
        <w:tc>
          <w:tcPr>
            <w:tcW w:w="367" w:type="dxa"/>
            <w:vMerge w:val="continue"/>
            <w:vAlign w:val="center"/>
          </w:tcPr>
          <w:p>
            <w:pPr>
              <w:adjustRightInd w:val="0"/>
              <w:snapToGrid w:val="0"/>
              <w:rPr>
                <w:rFonts w:ascii="仿宋_GB2312" w:eastAsia="仿宋_GB2312"/>
                <w:b/>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在本市居住的台湾人士适龄子女</w:t>
            </w:r>
          </w:p>
        </w:tc>
        <w:tc>
          <w:tcPr>
            <w:tcW w:w="2621"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有效期内的《中华人民共和国台湾居民居住证》</w:t>
            </w:r>
            <w:r>
              <w:rPr>
                <w:rFonts w:hint="eastAsia" w:ascii="仿宋_GB2312" w:hAnsi="宋体" w:eastAsia="仿宋_GB2312" w:cs="宋体"/>
                <w:color w:val="000000"/>
                <w:kern w:val="0"/>
                <w:szCs w:val="21"/>
              </w:rPr>
              <w:t>或五年期《台湾居民来往大陆通行证》，</w:t>
            </w:r>
            <w:r>
              <w:rPr>
                <w:rFonts w:hint="eastAsia" w:ascii="仿宋_GB2312" w:hAnsi="宋体" w:eastAsia="仿宋_GB2312" w:cs="宋体"/>
                <w:kern w:val="0"/>
                <w:szCs w:val="21"/>
              </w:rPr>
              <w:t>其中只提供五年期《台湾居民来往大陆通行证》的，还需同时提交父母在本市居住的有关证明</w:t>
            </w:r>
            <w:r>
              <w:rPr>
                <w:rFonts w:hint="eastAsia" w:ascii="仿宋_GB2312" w:hAnsi="宋体" w:eastAsia="仿宋_GB2312" w:cs="宋体"/>
                <w:color w:val="000000"/>
                <w:kern w:val="0"/>
                <w:szCs w:val="21"/>
              </w:rPr>
              <w:t>；委托监护照顾的还需提供监护人户口簿及委托监护公证；子女与父母关系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21"/>
              </w:rPr>
            </w:pPr>
            <w:r>
              <w:rPr>
                <w:rFonts w:hint="eastAsia" w:ascii="仿宋_GB2312" w:eastAsia="仿宋_GB2312"/>
                <w:kern w:val="0"/>
                <w:szCs w:val="32"/>
              </w:rPr>
              <w:t>区教育部门整理相关基本情况表（包括学生姓名、性别、出生日期、证件类型及号码、家长或监护人姓名、性别、出生日期、工作单位及职务、台湾居住地等），附相关佐证材料复印件，注明“与原件核对无误”并加盖单位公章后向区台湾事务部门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5" w:type="dxa"/>
            <w:vAlign w:val="center"/>
          </w:tcPr>
          <w:p>
            <w:pPr>
              <w:adjustRightInd w:val="0"/>
              <w:snapToGrid w:val="0"/>
              <w:rPr>
                <w:rFonts w:ascii="仿宋_GB2312" w:eastAsia="仿宋_GB2312"/>
                <w:kern w:val="0"/>
                <w:szCs w:val="32"/>
              </w:rPr>
            </w:pPr>
            <w:r>
              <w:rPr>
                <w:rFonts w:ascii="仿宋_GB2312" w:eastAsia="仿宋_GB2312"/>
                <w:szCs w:val="32"/>
              </w:rPr>
              <w:t>16</w:t>
            </w:r>
          </w:p>
        </w:tc>
        <w:tc>
          <w:tcPr>
            <w:tcW w:w="367" w:type="dxa"/>
            <w:vMerge w:val="restart"/>
            <w:vAlign w:val="center"/>
          </w:tcPr>
          <w:p>
            <w:pPr>
              <w:adjustRightInd w:val="0"/>
              <w:snapToGrid w:val="0"/>
              <w:rPr>
                <w:rFonts w:ascii="仿宋_GB2312" w:eastAsia="仿宋_GB2312"/>
                <w:b/>
                <w:kern w:val="0"/>
                <w:szCs w:val="32"/>
              </w:rPr>
            </w:pPr>
            <w:r>
              <w:rPr>
                <w:rFonts w:hint="eastAsia" w:ascii="仿宋_GB2312" w:eastAsia="仿宋_GB2312"/>
                <w:b/>
                <w:kern w:val="0"/>
                <w:szCs w:val="32"/>
              </w:rPr>
              <w:t>其它类</w:t>
            </w:r>
          </w:p>
        </w:tc>
        <w:tc>
          <w:tcPr>
            <w:tcW w:w="3975"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在本市同一区内连续居住并依法缴纳社会保险费满</w:t>
            </w:r>
            <w:r>
              <w:rPr>
                <w:rFonts w:ascii="仿宋_GB2312" w:hAnsi="宋体" w:eastAsia="仿宋_GB2312" w:cs="宋体"/>
                <w:kern w:val="0"/>
                <w:szCs w:val="21"/>
              </w:rPr>
              <w:t>5</w:t>
            </w:r>
            <w:r>
              <w:rPr>
                <w:rFonts w:hint="eastAsia" w:ascii="仿宋_GB2312" w:hAnsi="宋体" w:eastAsia="仿宋_GB2312" w:cs="宋体"/>
                <w:kern w:val="0"/>
                <w:szCs w:val="21"/>
              </w:rPr>
              <w:t>年以上（含</w:t>
            </w:r>
            <w:r>
              <w:rPr>
                <w:rFonts w:ascii="仿宋_GB2312" w:hAnsi="宋体" w:eastAsia="仿宋_GB2312" w:cs="宋体"/>
                <w:kern w:val="0"/>
                <w:szCs w:val="21"/>
              </w:rPr>
              <w:t>5</w:t>
            </w:r>
            <w:r>
              <w:rPr>
                <w:rFonts w:hint="eastAsia" w:ascii="仿宋_GB2312" w:hAnsi="宋体" w:eastAsia="仿宋_GB2312" w:cs="宋体"/>
                <w:kern w:val="0"/>
                <w:szCs w:val="21"/>
              </w:rPr>
              <w:t>年），有固定住址、有合法就业或经营证明的非户籍人士适龄子女</w:t>
            </w:r>
          </w:p>
        </w:tc>
        <w:tc>
          <w:tcPr>
            <w:tcW w:w="2621"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在同一区内连续</w:t>
            </w:r>
            <w:r>
              <w:rPr>
                <w:rFonts w:ascii="仿宋_GB2312" w:hAnsi="宋体" w:eastAsia="仿宋_GB2312" w:cs="宋体"/>
                <w:kern w:val="0"/>
                <w:szCs w:val="21"/>
              </w:rPr>
              <w:t>5</w:t>
            </w:r>
            <w:r>
              <w:rPr>
                <w:rFonts w:hint="eastAsia" w:ascii="仿宋_GB2312" w:hAnsi="宋体" w:eastAsia="仿宋_GB2312" w:cs="宋体"/>
                <w:kern w:val="0"/>
                <w:szCs w:val="21"/>
              </w:rPr>
              <w:t>年有效期居住证（或连续</w:t>
            </w:r>
            <w:r>
              <w:rPr>
                <w:rFonts w:ascii="仿宋_GB2312" w:hAnsi="宋体" w:eastAsia="仿宋_GB2312" w:cs="宋体"/>
                <w:kern w:val="0"/>
                <w:szCs w:val="21"/>
              </w:rPr>
              <w:t>5</w:t>
            </w:r>
            <w:r>
              <w:rPr>
                <w:rFonts w:hint="eastAsia" w:ascii="仿宋_GB2312" w:hAnsi="宋体" w:eastAsia="仿宋_GB2312" w:cs="宋体"/>
                <w:kern w:val="0"/>
                <w:szCs w:val="21"/>
              </w:rPr>
              <w:t>年营业执照、或连续</w:t>
            </w:r>
            <w:r>
              <w:rPr>
                <w:rFonts w:ascii="仿宋_GB2312" w:hAnsi="宋体" w:eastAsia="仿宋_GB2312" w:cs="宋体"/>
                <w:kern w:val="0"/>
                <w:szCs w:val="21"/>
              </w:rPr>
              <w:t>5</w:t>
            </w:r>
            <w:r>
              <w:rPr>
                <w:rFonts w:hint="eastAsia" w:ascii="仿宋_GB2312" w:hAnsi="宋体" w:eastAsia="仿宋_GB2312" w:cs="宋体"/>
                <w:kern w:val="0"/>
                <w:szCs w:val="21"/>
              </w:rPr>
              <w:t>年依法纳税证明）；在同一区缴纳社保连续</w:t>
            </w:r>
            <w:r>
              <w:rPr>
                <w:rFonts w:ascii="仿宋_GB2312" w:hAnsi="宋体" w:eastAsia="仿宋_GB2312" w:cs="宋体"/>
                <w:kern w:val="0"/>
                <w:szCs w:val="21"/>
              </w:rPr>
              <w:t>5</w:t>
            </w:r>
            <w:r>
              <w:rPr>
                <w:rFonts w:hint="eastAsia" w:ascii="仿宋_GB2312" w:hAnsi="宋体" w:eastAsia="仿宋_GB2312" w:cs="宋体"/>
                <w:kern w:val="0"/>
                <w:szCs w:val="21"/>
              </w:rPr>
              <w:t>年以上证明；子女与父母（或一方）同户的户口簿或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495" w:type="dxa"/>
            <w:vAlign w:val="center"/>
          </w:tcPr>
          <w:p>
            <w:pPr>
              <w:adjustRightInd w:val="0"/>
              <w:snapToGrid w:val="0"/>
              <w:rPr>
                <w:rFonts w:ascii="仿宋_GB2312" w:eastAsia="仿宋_GB2312"/>
                <w:kern w:val="0"/>
                <w:szCs w:val="32"/>
              </w:rPr>
            </w:pPr>
            <w:r>
              <w:rPr>
                <w:rFonts w:ascii="仿宋_GB2312" w:eastAsia="仿宋_GB2312"/>
                <w:kern w:val="0"/>
                <w:szCs w:val="32"/>
              </w:rPr>
              <w:t>17</w:t>
            </w:r>
          </w:p>
        </w:tc>
        <w:tc>
          <w:tcPr>
            <w:tcW w:w="367" w:type="dxa"/>
            <w:vMerge w:val="continue"/>
            <w:vAlign w:val="center"/>
          </w:tcPr>
          <w:p>
            <w:pPr>
              <w:adjustRightInd w:val="0"/>
              <w:snapToGrid w:val="0"/>
              <w:rPr>
                <w:rFonts w:ascii="仿宋_GB2312" w:eastAsia="仿宋_GB2312"/>
                <w:kern w:val="0"/>
                <w:szCs w:val="32"/>
              </w:rPr>
            </w:pP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父母一方是本市户籍的非户籍适龄子女</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父（母）本市户籍户口簿；子女与非本市户籍的父母一方同户的户口簿；出生医学证明</w:t>
            </w:r>
          </w:p>
        </w:tc>
        <w:tc>
          <w:tcPr>
            <w:tcW w:w="1640" w:type="dxa"/>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jc w:val="center"/>
        </w:trPr>
        <w:tc>
          <w:tcPr>
            <w:tcW w:w="495" w:type="dxa"/>
            <w:vAlign w:val="center"/>
          </w:tcPr>
          <w:p>
            <w:pPr>
              <w:adjustRightInd w:val="0"/>
              <w:snapToGrid w:val="0"/>
              <w:rPr>
                <w:rFonts w:ascii="仿宋_GB2312" w:eastAsia="仿宋_GB2312"/>
                <w:kern w:val="0"/>
                <w:szCs w:val="32"/>
              </w:rPr>
            </w:pPr>
            <w:r>
              <w:rPr>
                <w:rFonts w:hint="eastAsia" w:ascii="仿宋_GB2312" w:eastAsia="仿宋_GB2312"/>
                <w:kern w:val="0"/>
                <w:szCs w:val="32"/>
              </w:rPr>
              <w:t>附</w:t>
            </w:r>
          </w:p>
        </w:tc>
        <w:tc>
          <w:tcPr>
            <w:tcW w:w="367" w:type="dxa"/>
            <w:vAlign w:val="center"/>
          </w:tcPr>
          <w:p>
            <w:pPr>
              <w:adjustRightInd w:val="0"/>
              <w:snapToGrid w:val="0"/>
              <w:rPr>
                <w:rFonts w:ascii="仿宋_GB2312" w:eastAsia="仿宋_GB2312"/>
                <w:b/>
                <w:kern w:val="0"/>
                <w:szCs w:val="32"/>
              </w:rPr>
            </w:pPr>
            <w:r>
              <w:rPr>
                <w:rFonts w:hint="eastAsia" w:ascii="仿宋_GB2312" w:eastAsia="仿宋_GB2312"/>
                <w:b/>
                <w:kern w:val="0"/>
                <w:szCs w:val="32"/>
              </w:rPr>
              <w:t>过渡期类</w:t>
            </w:r>
          </w:p>
        </w:tc>
        <w:tc>
          <w:tcPr>
            <w:tcW w:w="397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持有本市有效期内居住证，</w:t>
            </w:r>
            <w:r>
              <w:rPr>
                <w:rFonts w:ascii="仿宋_GB2312" w:hAnsi="宋体" w:eastAsia="仿宋_GB2312" w:cs="宋体"/>
                <w:kern w:val="0"/>
                <w:szCs w:val="21"/>
              </w:rPr>
              <w:t>2018</w:t>
            </w:r>
            <w:r>
              <w:rPr>
                <w:rFonts w:hint="eastAsia" w:ascii="仿宋_GB2312" w:hAnsi="宋体" w:eastAsia="仿宋_GB2312" w:cs="宋体"/>
                <w:kern w:val="0"/>
                <w:szCs w:val="21"/>
              </w:rPr>
              <w:t>年</w:t>
            </w:r>
            <w:r>
              <w:rPr>
                <w:rFonts w:ascii="仿宋_GB2312" w:hAnsi="宋体" w:eastAsia="仿宋_GB2312" w:cs="宋体"/>
                <w:kern w:val="0"/>
                <w:szCs w:val="21"/>
              </w:rPr>
              <w:t>12</w:t>
            </w:r>
            <w:r>
              <w:rPr>
                <w:rFonts w:hint="eastAsia" w:ascii="仿宋_GB2312" w:hAnsi="宋体" w:eastAsia="仿宋_GB2312" w:cs="宋体"/>
                <w:kern w:val="0"/>
                <w:szCs w:val="21"/>
              </w:rPr>
              <w:t>月</w:t>
            </w:r>
            <w:r>
              <w:rPr>
                <w:rFonts w:ascii="仿宋_GB2312" w:hAnsi="宋体" w:eastAsia="仿宋_GB2312" w:cs="宋体"/>
                <w:kern w:val="0"/>
                <w:szCs w:val="21"/>
              </w:rPr>
              <w:t>31</w:t>
            </w:r>
            <w:r>
              <w:rPr>
                <w:rFonts w:hint="eastAsia" w:ascii="仿宋_GB2312" w:hAnsi="宋体" w:eastAsia="仿宋_GB2312" w:cs="宋体"/>
                <w:kern w:val="0"/>
                <w:szCs w:val="21"/>
              </w:rPr>
              <w:t>日前（含当日）已获得住宅房屋权属证书（含房屋所有权证、房地产权证、不动产权属证书）或已备案购房合同，且住宅建筑面积不低于</w:t>
            </w:r>
            <w:r>
              <w:rPr>
                <w:rFonts w:ascii="仿宋_GB2312" w:hAnsi="宋体" w:eastAsia="仿宋_GB2312" w:cs="宋体"/>
                <w:kern w:val="0"/>
                <w:szCs w:val="21"/>
              </w:rPr>
              <w:t>80</w:t>
            </w:r>
            <w:r>
              <w:rPr>
                <w:rFonts w:hint="eastAsia" w:ascii="仿宋_GB2312" w:hAnsi="宋体" w:eastAsia="仿宋_GB2312" w:cs="宋体"/>
                <w:kern w:val="0"/>
                <w:szCs w:val="21"/>
              </w:rPr>
              <w:t>平方米的非户籍适龄子女，继续按照原政策性借读生有关规定执行至</w:t>
            </w:r>
            <w:r>
              <w:rPr>
                <w:rFonts w:ascii="仿宋_GB2312" w:hAnsi="宋体" w:eastAsia="仿宋_GB2312" w:cs="宋体"/>
                <w:kern w:val="0"/>
                <w:szCs w:val="21"/>
              </w:rPr>
              <w:t>2019</w:t>
            </w:r>
            <w:r>
              <w:rPr>
                <w:rFonts w:hint="eastAsia" w:ascii="仿宋_GB2312" w:hAnsi="宋体" w:eastAsia="仿宋_GB2312" w:cs="宋体"/>
                <w:kern w:val="0"/>
                <w:szCs w:val="21"/>
              </w:rPr>
              <w:t>年</w:t>
            </w:r>
            <w:r>
              <w:rPr>
                <w:rFonts w:ascii="仿宋_GB2312" w:hAnsi="宋体" w:eastAsia="仿宋_GB2312" w:cs="宋体"/>
                <w:kern w:val="0"/>
                <w:szCs w:val="21"/>
              </w:rPr>
              <w:t>12</w:t>
            </w:r>
            <w:r>
              <w:rPr>
                <w:rFonts w:hint="eastAsia" w:ascii="仿宋_GB2312" w:hAnsi="宋体" w:eastAsia="仿宋_GB2312" w:cs="宋体"/>
                <w:kern w:val="0"/>
                <w:szCs w:val="21"/>
              </w:rPr>
              <w:t>月</w:t>
            </w:r>
            <w:r>
              <w:rPr>
                <w:rFonts w:ascii="仿宋_GB2312" w:hAnsi="宋体" w:eastAsia="仿宋_GB2312" w:cs="宋体"/>
                <w:kern w:val="0"/>
                <w:szCs w:val="21"/>
              </w:rPr>
              <w:t>31</w:t>
            </w:r>
            <w:r>
              <w:rPr>
                <w:rFonts w:hint="eastAsia" w:ascii="仿宋_GB2312" w:hAnsi="宋体" w:eastAsia="仿宋_GB2312" w:cs="宋体"/>
                <w:kern w:val="0"/>
                <w:szCs w:val="21"/>
              </w:rPr>
              <w:t>日止。</w:t>
            </w:r>
          </w:p>
        </w:tc>
        <w:tc>
          <w:tcPr>
            <w:tcW w:w="262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有效期内居住证；住宅房屋权属证书（含房屋所有权证、房地产权证、不动产权属证书）或已备案购房合同；子女与父母（或一方）同户的户口簿或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证明</w:t>
            </w:r>
          </w:p>
        </w:tc>
        <w:tc>
          <w:tcPr>
            <w:tcW w:w="1640" w:type="dxa"/>
            <w:vAlign w:val="center"/>
          </w:tcPr>
          <w:p>
            <w:pPr>
              <w:adjustRightInd w:val="0"/>
              <w:snapToGrid w:val="0"/>
              <w:jc w:val="left"/>
              <w:rPr>
                <w:rFonts w:ascii="仿宋_GB2312" w:eastAsia="仿宋_GB2312"/>
                <w:kern w:val="0"/>
                <w:szCs w:val="32"/>
              </w:rPr>
            </w:pPr>
          </w:p>
        </w:tc>
      </w:tr>
    </w:tbl>
    <w:p>
      <w:pPr>
        <w:spacing w:line="560" w:lineRule="exact"/>
        <w:rPr>
          <w:rFonts w:ascii="仿宋" w:hAnsi="仿宋" w:eastAsia="仿宋"/>
          <w:sz w:val="32"/>
          <w:szCs w:val="32"/>
        </w:rPr>
      </w:pPr>
      <w:r>
        <w:rPr>
          <w:rFonts w:hint="eastAsia" w:ascii="仿宋_GB2312" w:hAnsi="宋体" w:eastAsia="仿宋_GB2312"/>
          <w:sz w:val="32"/>
          <w:szCs w:val="32"/>
        </w:rPr>
        <w:t>说明：所有证件、证书、证明都必须提供原件和复印件。</w:t>
      </w:r>
    </w:p>
    <w:sectPr>
      <w:pgSz w:w="11906" w:h="16838"/>
      <w:pgMar w:top="1757" w:right="1474" w:bottom="1474" w:left="1588"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trackRevisions w:val="1"/>
  <w:documentProtection w:enforcement="0"/>
  <w:defaultTabStop w:val="420"/>
  <w:drawingGridVerticalSpacing w:val="158"/>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F87"/>
    <w:rsid w:val="00000469"/>
    <w:rsid w:val="0001359C"/>
    <w:rsid w:val="00016744"/>
    <w:rsid w:val="000305D7"/>
    <w:rsid w:val="000317E5"/>
    <w:rsid w:val="000408B5"/>
    <w:rsid w:val="0005184B"/>
    <w:rsid w:val="00063425"/>
    <w:rsid w:val="0006768B"/>
    <w:rsid w:val="00084EBE"/>
    <w:rsid w:val="00090B9C"/>
    <w:rsid w:val="000C289E"/>
    <w:rsid w:val="000C619D"/>
    <w:rsid w:val="000D5B2F"/>
    <w:rsid w:val="000D7F07"/>
    <w:rsid w:val="000F63E8"/>
    <w:rsid w:val="00107CCE"/>
    <w:rsid w:val="00112756"/>
    <w:rsid w:val="00113D38"/>
    <w:rsid w:val="00115510"/>
    <w:rsid w:val="001234A6"/>
    <w:rsid w:val="0012622A"/>
    <w:rsid w:val="00144EC7"/>
    <w:rsid w:val="001722D7"/>
    <w:rsid w:val="00185554"/>
    <w:rsid w:val="00185A10"/>
    <w:rsid w:val="001929F7"/>
    <w:rsid w:val="001964CF"/>
    <w:rsid w:val="001A7558"/>
    <w:rsid w:val="001B060A"/>
    <w:rsid w:val="001B51E4"/>
    <w:rsid w:val="001C6CE8"/>
    <w:rsid w:val="001D055E"/>
    <w:rsid w:val="001E0EAF"/>
    <w:rsid w:val="001E4303"/>
    <w:rsid w:val="001E50ED"/>
    <w:rsid w:val="001E7424"/>
    <w:rsid w:val="00201BD9"/>
    <w:rsid w:val="00205353"/>
    <w:rsid w:val="0021242C"/>
    <w:rsid w:val="002168C9"/>
    <w:rsid w:val="002300FD"/>
    <w:rsid w:val="00235AAF"/>
    <w:rsid w:val="00235E03"/>
    <w:rsid w:val="002365E8"/>
    <w:rsid w:val="002410C0"/>
    <w:rsid w:val="00246B9E"/>
    <w:rsid w:val="00255A61"/>
    <w:rsid w:val="002752F1"/>
    <w:rsid w:val="00286458"/>
    <w:rsid w:val="002914E0"/>
    <w:rsid w:val="00294277"/>
    <w:rsid w:val="002A4D42"/>
    <w:rsid w:val="002A596D"/>
    <w:rsid w:val="002B5E4A"/>
    <w:rsid w:val="002C73FC"/>
    <w:rsid w:val="002C7F10"/>
    <w:rsid w:val="002D6F9D"/>
    <w:rsid w:val="00304E81"/>
    <w:rsid w:val="00314A31"/>
    <w:rsid w:val="0032142D"/>
    <w:rsid w:val="00334ACF"/>
    <w:rsid w:val="00335C2A"/>
    <w:rsid w:val="003458A0"/>
    <w:rsid w:val="00352BD3"/>
    <w:rsid w:val="00363D22"/>
    <w:rsid w:val="00364C4B"/>
    <w:rsid w:val="00370304"/>
    <w:rsid w:val="003810D8"/>
    <w:rsid w:val="00393196"/>
    <w:rsid w:val="0039506C"/>
    <w:rsid w:val="003B2C18"/>
    <w:rsid w:val="003B41CE"/>
    <w:rsid w:val="003B5A08"/>
    <w:rsid w:val="003B6218"/>
    <w:rsid w:val="003E3707"/>
    <w:rsid w:val="003E3965"/>
    <w:rsid w:val="003E4AD3"/>
    <w:rsid w:val="00405A87"/>
    <w:rsid w:val="0041432C"/>
    <w:rsid w:val="00421BEE"/>
    <w:rsid w:val="004223A8"/>
    <w:rsid w:val="00423BBC"/>
    <w:rsid w:val="004267D0"/>
    <w:rsid w:val="004378F4"/>
    <w:rsid w:val="004463BB"/>
    <w:rsid w:val="004473B5"/>
    <w:rsid w:val="00452667"/>
    <w:rsid w:val="00460184"/>
    <w:rsid w:val="00461931"/>
    <w:rsid w:val="00462D64"/>
    <w:rsid w:val="00485B55"/>
    <w:rsid w:val="00491229"/>
    <w:rsid w:val="00491393"/>
    <w:rsid w:val="004920B9"/>
    <w:rsid w:val="004A144D"/>
    <w:rsid w:val="004A3E86"/>
    <w:rsid w:val="004B146B"/>
    <w:rsid w:val="004B2E63"/>
    <w:rsid w:val="004B66C1"/>
    <w:rsid w:val="004D1632"/>
    <w:rsid w:val="004E06C0"/>
    <w:rsid w:val="004F46EA"/>
    <w:rsid w:val="004F6B2E"/>
    <w:rsid w:val="00517644"/>
    <w:rsid w:val="0052188A"/>
    <w:rsid w:val="00523BCF"/>
    <w:rsid w:val="00531FA8"/>
    <w:rsid w:val="00533778"/>
    <w:rsid w:val="00536310"/>
    <w:rsid w:val="00536BA2"/>
    <w:rsid w:val="00537A7E"/>
    <w:rsid w:val="00541C84"/>
    <w:rsid w:val="00545630"/>
    <w:rsid w:val="00551855"/>
    <w:rsid w:val="005558A5"/>
    <w:rsid w:val="005663FB"/>
    <w:rsid w:val="00581058"/>
    <w:rsid w:val="00591BC8"/>
    <w:rsid w:val="005920C1"/>
    <w:rsid w:val="005A3B0A"/>
    <w:rsid w:val="005D48C5"/>
    <w:rsid w:val="005D67B8"/>
    <w:rsid w:val="005D7D86"/>
    <w:rsid w:val="0061168D"/>
    <w:rsid w:val="006138D9"/>
    <w:rsid w:val="0063339C"/>
    <w:rsid w:val="0064053E"/>
    <w:rsid w:val="00640ED3"/>
    <w:rsid w:val="006411B3"/>
    <w:rsid w:val="00645EC3"/>
    <w:rsid w:val="00651113"/>
    <w:rsid w:val="00664640"/>
    <w:rsid w:val="00666357"/>
    <w:rsid w:val="006668D3"/>
    <w:rsid w:val="00671487"/>
    <w:rsid w:val="006834B2"/>
    <w:rsid w:val="00690871"/>
    <w:rsid w:val="006972E8"/>
    <w:rsid w:val="006B1DB4"/>
    <w:rsid w:val="006C540F"/>
    <w:rsid w:val="006E2762"/>
    <w:rsid w:val="006E4E56"/>
    <w:rsid w:val="006F3139"/>
    <w:rsid w:val="0071486F"/>
    <w:rsid w:val="00722ADC"/>
    <w:rsid w:val="00736BF4"/>
    <w:rsid w:val="0075023D"/>
    <w:rsid w:val="00755336"/>
    <w:rsid w:val="007648BB"/>
    <w:rsid w:val="00782F87"/>
    <w:rsid w:val="00786CAB"/>
    <w:rsid w:val="00796225"/>
    <w:rsid w:val="00797A86"/>
    <w:rsid w:val="007A276E"/>
    <w:rsid w:val="007A5C0E"/>
    <w:rsid w:val="007B5CE8"/>
    <w:rsid w:val="007C431B"/>
    <w:rsid w:val="007C5327"/>
    <w:rsid w:val="007D02C4"/>
    <w:rsid w:val="007D0B1C"/>
    <w:rsid w:val="007F0FFE"/>
    <w:rsid w:val="007F2BA4"/>
    <w:rsid w:val="00801EF7"/>
    <w:rsid w:val="00803517"/>
    <w:rsid w:val="008045B6"/>
    <w:rsid w:val="00806FFA"/>
    <w:rsid w:val="00820A18"/>
    <w:rsid w:val="0082276A"/>
    <w:rsid w:val="00826F57"/>
    <w:rsid w:val="0082773A"/>
    <w:rsid w:val="008315C1"/>
    <w:rsid w:val="008330F7"/>
    <w:rsid w:val="00851BC6"/>
    <w:rsid w:val="008574DC"/>
    <w:rsid w:val="00860E2D"/>
    <w:rsid w:val="0088166D"/>
    <w:rsid w:val="00886713"/>
    <w:rsid w:val="00894B27"/>
    <w:rsid w:val="008A1F8B"/>
    <w:rsid w:val="008A4EC8"/>
    <w:rsid w:val="008A7DFB"/>
    <w:rsid w:val="008B68B3"/>
    <w:rsid w:val="008C59D9"/>
    <w:rsid w:val="008D59FF"/>
    <w:rsid w:val="008F3553"/>
    <w:rsid w:val="00904D05"/>
    <w:rsid w:val="009064CD"/>
    <w:rsid w:val="00912ABD"/>
    <w:rsid w:val="009152B6"/>
    <w:rsid w:val="00915A28"/>
    <w:rsid w:val="009248B9"/>
    <w:rsid w:val="00927310"/>
    <w:rsid w:val="009350F7"/>
    <w:rsid w:val="009371AC"/>
    <w:rsid w:val="00947340"/>
    <w:rsid w:val="0095766A"/>
    <w:rsid w:val="009710B2"/>
    <w:rsid w:val="0098605C"/>
    <w:rsid w:val="00993C2B"/>
    <w:rsid w:val="009B1C2E"/>
    <w:rsid w:val="009C09F5"/>
    <w:rsid w:val="009C346A"/>
    <w:rsid w:val="009E7D60"/>
    <w:rsid w:val="009F5B08"/>
    <w:rsid w:val="00A06467"/>
    <w:rsid w:val="00A10A16"/>
    <w:rsid w:val="00A139BE"/>
    <w:rsid w:val="00A17BE6"/>
    <w:rsid w:val="00A2150C"/>
    <w:rsid w:val="00A3157F"/>
    <w:rsid w:val="00A33C34"/>
    <w:rsid w:val="00A436C6"/>
    <w:rsid w:val="00A45D86"/>
    <w:rsid w:val="00A508A7"/>
    <w:rsid w:val="00A612E2"/>
    <w:rsid w:val="00A659C2"/>
    <w:rsid w:val="00A76229"/>
    <w:rsid w:val="00A822F8"/>
    <w:rsid w:val="00A82CC0"/>
    <w:rsid w:val="00A82CFE"/>
    <w:rsid w:val="00A84C74"/>
    <w:rsid w:val="00A85F2A"/>
    <w:rsid w:val="00A876EA"/>
    <w:rsid w:val="00A93D98"/>
    <w:rsid w:val="00A93F46"/>
    <w:rsid w:val="00AA18BC"/>
    <w:rsid w:val="00AB6D77"/>
    <w:rsid w:val="00AC4B3A"/>
    <w:rsid w:val="00AD0E91"/>
    <w:rsid w:val="00AD49BE"/>
    <w:rsid w:val="00AE0C8D"/>
    <w:rsid w:val="00AE10CE"/>
    <w:rsid w:val="00AE727E"/>
    <w:rsid w:val="00AF531A"/>
    <w:rsid w:val="00B06976"/>
    <w:rsid w:val="00B10D43"/>
    <w:rsid w:val="00B1127D"/>
    <w:rsid w:val="00B12B22"/>
    <w:rsid w:val="00B26215"/>
    <w:rsid w:val="00B33BC3"/>
    <w:rsid w:val="00B37A52"/>
    <w:rsid w:val="00B44E16"/>
    <w:rsid w:val="00B655F4"/>
    <w:rsid w:val="00B710C1"/>
    <w:rsid w:val="00B7591B"/>
    <w:rsid w:val="00B808A2"/>
    <w:rsid w:val="00B81C5B"/>
    <w:rsid w:val="00B83FAF"/>
    <w:rsid w:val="00B87628"/>
    <w:rsid w:val="00B907EF"/>
    <w:rsid w:val="00BA6733"/>
    <w:rsid w:val="00BB7206"/>
    <w:rsid w:val="00BC6B82"/>
    <w:rsid w:val="00BD3496"/>
    <w:rsid w:val="00C30B68"/>
    <w:rsid w:val="00C34016"/>
    <w:rsid w:val="00C36BBC"/>
    <w:rsid w:val="00C5437A"/>
    <w:rsid w:val="00C544ED"/>
    <w:rsid w:val="00C83F1A"/>
    <w:rsid w:val="00C900E0"/>
    <w:rsid w:val="00CA4C62"/>
    <w:rsid w:val="00CB7ACB"/>
    <w:rsid w:val="00CD4C4C"/>
    <w:rsid w:val="00CE5834"/>
    <w:rsid w:val="00CF0E74"/>
    <w:rsid w:val="00CF7D31"/>
    <w:rsid w:val="00CF7E6A"/>
    <w:rsid w:val="00D06CB3"/>
    <w:rsid w:val="00D103A3"/>
    <w:rsid w:val="00D1047A"/>
    <w:rsid w:val="00D13212"/>
    <w:rsid w:val="00D244DC"/>
    <w:rsid w:val="00D2498B"/>
    <w:rsid w:val="00D24BF0"/>
    <w:rsid w:val="00D32623"/>
    <w:rsid w:val="00D37C1B"/>
    <w:rsid w:val="00D37F05"/>
    <w:rsid w:val="00D4251D"/>
    <w:rsid w:val="00D62E89"/>
    <w:rsid w:val="00D70296"/>
    <w:rsid w:val="00D746CE"/>
    <w:rsid w:val="00D82EEF"/>
    <w:rsid w:val="00D93881"/>
    <w:rsid w:val="00D93CB2"/>
    <w:rsid w:val="00D95DFD"/>
    <w:rsid w:val="00DA1DAE"/>
    <w:rsid w:val="00DA4761"/>
    <w:rsid w:val="00DB2AFD"/>
    <w:rsid w:val="00DB5A92"/>
    <w:rsid w:val="00DC14CC"/>
    <w:rsid w:val="00DC66FD"/>
    <w:rsid w:val="00DD1B53"/>
    <w:rsid w:val="00DE73F7"/>
    <w:rsid w:val="00DF7CAA"/>
    <w:rsid w:val="00E006F4"/>
    <w:rsid w:val="00E05681"/>
    <w:rsid w:val="00E07B7C"/>
    <w:rsid w:val="00E07B84"/>
    <w:rsid w:val="00E12FCF"/>
    <w:rsid w:val="00E13028"/>
    <w:rsid w:val="00E24701"/>
    <w:rsid w:val="00E30FAB"/>
    <w:rsid w:val="00E373B3"/>
    <w:rsid w:val="00E40250"/>
    <w:rsid w:val="00E46BC1"/>
    <w:rsid w:val="00E54AB8"/>
    <w:rsid w:val="00E6425C"/>
    <w:rsid w:val="00E67D34"/>
    <w:rsid w:val="00E708DC"/>
    <w:rsid w:val="00E74085"/>
    <w:rsid w:val="00E81C45"/>
    <w:rsid w:val="00EB3A0E"/>
    <w:rsid w:val="00EB733C"/>
    <w:rsid w:val="00EC23D9"/>
    <w:rsid w:val="00EC2795"/>
    <w:rsid w:val="00EC4ED8"/>
    <w:rsid w:val="00ED3D8B"/>
    <w:rsid w:val="00ED747F"/>
    <w:rsid w:val="00EE451C"/>
    <w:rsid w:val="00EF663B"/>
    <w:rsid w:val="00EF75E7"/>
    <w:rsid w:val="00F0079E"/>
    <w:rsid w:val="00F0707F"/>
    <w:rsid w:val="00F131A1"/>
    <w:rsid w:val="00F25A34"/>
    <w:rsid w:val="00F26319"/>
    <w:rsid w:val="00F53286"/>
    <w:rsid w:val="00F71144"/>
    <w:rsid w:val="00F74335"/>
    <w:rsid w:val="00F76BE3"/>
    <w:rsid w:val="00F92C66"/>
    <w:rsid w:val="00FA2625"/>
    <w:rsid w:val="00FB262F"/>
    <w:rsid w:val="00FD53DF"/>
    <w:rsid w:val="00FD5F4B"/>
    <w:rsid w:val="00FD7C24"/>
    <w:rsid w:val="010516D7"/>
    <w:rsid w:val="023E36B3"/>
    <w:rsid w:val="029577C8"/>
    <w:rsid w:val="02E8482E"/>
    <w:rsid w:val="03655DA6"/>
    <w:rsid w:val="03692E03"/>
    <w:rsid w:val="03AF480F"/>
    <w:rsid w:val="04B01CEF"/>
    <w:rsid w:val="06BD487F"/>
    <w:rsid w:val="0824290F"/>
    <w:rsid w:val="083C767E"/>
    <w:rsid w:val="084E72BE"/>
    <w:rsid w:val="08BE3FDA"/>
    <w:rsid w:val="099B05AE"/>
    <w:rsid w:val="0A7E43E7"/>
    <w:rsid w:val="0A8B6DC8"/>
    <w:rsid w:val="0A9060BE"/>
    <w:rsid w:val="0BDD0784"/>
    <w:rsid w:val="0C192F63"/>
    <w:rsid w:val="0C356210"/>
    <w:rsid w:val="0CBC7793"/>
    <w:rsid w:val="0DB8436C"/>
    <w:rsid w:val="0DC116FA"/>
    <w:rsid w:val="0DEE7A2D"/>
    <w:rsid w:val="0F322392"/>
    <w:rsid w:val="106D6DF6"/>
    <w:rsid w:val="109C6DE8"/>
    <w:rsid w:val="109E6CF0"/>
    <w:rsid w:val="11C3369F"/>
    <w:rsid w:val="13440F0B"/>
    <w:rsid w:val="14090D47"/>
    <w:rsid w:val="1488652E"/>
    <w:rsid w:val="159C04EF"/>
    <w:rsid w:val="15C76F11"/>
    <w:rsid w:val="1784038F"/>
    <w:rsid w:val="17AD10E6"/>
    <w:rsid w:val="17FD2628"/>
    <w:rsid w:val="182144D7"/>
    <w:rsid w:val="187E2CE6"/>
    <w:rsid w:val="18A66567"/>
    <w:rsid w:val="18F61CF9"/>
    <w:rsid w:val="192A3F43"/>
    <w:rsid w:val="193F62B3"/>
    <w:rsid w:val="19C730D4"/>
    <w:rsid w:val="1A787E8D"/>
    <w:rsid w:val="1AE00F4D"/>
    <w:rsid w:val="1B730E65"/>
    <w:rsid w:val="1C113821"/>
    <w:rsid w:val="1C7A5AB7"/>
    <w:rsid w:val="1D5545A7"/>
    <w:rsid w:val="1D9A5A0C"/>
    <w:rsid w:val="1E7D3E83"/>
    <w:rsid w:val="1F2D19DC"/>
    <w:rsid w:val="1F6C42FB"/>
    <w:rsid w:val="1FC93E58"/>
    <w:rsid w:val="1FEB0F62"/>
    <w:rsid w:val="23041156"/>
    <w:rsid w:val="23490A43"/>
    <w:rsid w:val="23775ABE"/>
    <w:rsid w:val="2500408F"/>
    <w:rsid w:val="26561465"/>
    <w:rsid w:val="27A54A90"/>
    <w:rsid w:val="289D11B4"/>
    <w:rsid w:val="2A3C5F83"/>
    <w:rsid w:val="2A445D30"/>
    <w:rsid w:val="2B9B38C2"/>
    <w:rsid w:val="2C1C4D3A"/>
    <w:rsid w:val="2CB30CDE"/>
    <w:rsid w:val="2CBE1C8B"/>
    <w:rsid w:val="2EB36387"/>
    <w:rsid w:val="2F117A54"/>
    <w:rsid w:val="306F4848"/>
    <w:rsid w:val="316070E1"/>
    <w:rsid w:val="31DB50D0"/>
    <w:rsid w:val="324A0B2F"/>
    <w:rsid w:val="32C870DA"/>
    <w:rsid w:val="34E90B4C"/>
    <w:rsid w:val="35A943ED"/>
    <w:rsid w:val="35F94736"/>
    <w:rsid w:val="361D20CE"/>
    <w:rsid w:val="36DA5EDE"/>
    <w:rsid w:val="370343DB"/>
    <w:rsid w:val="37565DB3"/>
    <w:rsid w:val="375E3B3E"/>
    <w:rsid w:val="37654404"/>
    <w:rsid w:val="38837442"/>
    <w:rsid w:val="3957484A"/>
    <w:rsid w:val="3D3B51DF"/>
    <w:rsid w:val="3DCB15BF"/>
    <w:rsid w:val="3E554B12"/>
    <w:rsid w:val="3EC51082"/>
    <w:rsid w:val="3F06690A"/>
    <w:rsid w:val="40265C84"/>
    <w:rsid w:val="4138476A"/>
    <w:rsid w:val="41E228C4"/>
    <w:rsid w:val="420D2948"/>
    <w:rsid w:val="42CB5154"/>
    <w:rsid w:val="44A173AB"/>
    <w:rsid w:val="45015DD5"/>
    <w:rsid w:val="47C85344"/>
    <w:rsid w:val="47C96D64"/>
    <w:rsid w:val="499E6F42"/>
    <w:rsid w:val="49B23D76"/>
    <w:rsid w:val="4A6254F5"/>
    <w:rsid w:val="4B5B0A93"/>
    <w:rsid w:val="4B8D409F"/>
    <w:rsid w:val="4D12617A"/>
    <w:rsid w:val="4DD718D4"/>
    <w:rsid w:val="4E1107CE"/>
    <w:rsid w:val="4EF52693"/>
    <w:rsid w:val="50402C23"/>
    <w:rsid w:val="50801279"/>
    <w:rsid w:val="5155276B"/>
    <w:rsid w:val="525240F8"/>
    <w:rsid w:val="52742CED"/>
    <w:rsid w:val="529E5209"/>
    <w:rsid w:val="52A1045D"/>
    <w:rsid w:val="531D7A2A"/>
    <w:rsid w:val="53A9344D"/>
    <w:rsid w:val="54146C62"/>
    <w:rsid w:val="5446545D"/>
    <w:rsid w:val="545A1070"/>
    <w:rsid w:val="54EF1AD8"/>
    <w:rsid w:val="562B347F"/>
    <w:rsid w:val="56467553"/>
    <w:rsid w:val="56C933B6"/>
    <w:rsid w:val="57343638"/>
    <w:rsid w:val="57395700"/>
    <w:rsid w:val="57C26C2F"/>
    <w:rsid w:val="587E18F3"/>
    <w:rsid w:val="588967E2"/>
    <w:rsid w:val="59EF434E"/>
    <w:rsid w:val="59FD1E5E"/>
    <w:rsid w:val="5B543670"/>
    <w:rsid w:val="5BD511EC"/>
    <w:rsid w:val="5C1E6942"/>
    <w:rsid w:val="5C8E3549"/>
    <w:rsid w:val="5CCB508D"/>
    <w:rsid w:val="5ECF4670"/>
    <w:rsid w:val="5F5952C0"/>
    <w:rsid w:val="5F630880"/>
    <w:rsid w:val="620C2E9C"/>
    <w:rsid w:val="62801C8B"/>
    <w:rsid w:val="63BD6D26"/>
    <w:rsid w:val="63D42788"/>
    <w:rsid w:val="641E59D6"/>
    <w:rsid w:val="64434E9E"/>
    <w:rsid w:val="645210D9"/>
    <w:rsid w:val="647B2D4A"/>
    <w:rsid w:val="652A022B"/>
    <w:rsid w:val="657D157C"/>
    <w:rsid w:val="65843744"/>
    <w:rsid w:val="65EE3D4F"/>
    <w:rsid w:val="664C11D3"/>
    <w:rsid w:val="6742429E"/>
    <w:rsid w:val="67DD5299"/>
    <w:rsid w:val="67E75D4C"/>
    <w:rsid w:val="6A505AE1"/>
    <w:rsid w:val="6ACA1865"/>
    <w:rsid w:val="6ACF3E38"/>
    <w:rsid w:val="6B822788"/>
    <w:rsid w:val="6BA52363"/>
    <w:rsid w:val="6BAF2A8B"/>
    <w:rsid w:val="6DD30C0F"/>
    <w:rsid w:val="6EB44E38"/>
    <w:rsid w:val="6F364EE3"/>
    <w:rsid w:val="70BB5BA5"/>
    <w:rsid w:val="71F05A27"/>
    <w:rsid w:val="7244455D"/>
    <w:rsid w:val="73254981"/>
    <w:rsid w:val="7342081C"/>
    <w:rsid w:val="735A2679"/>
    <w:rsid w:val="743C3BE8"/>
    <w:rsid w:val="75B0226D"/>
    <w:rsid w:val="75FA4ED1"/>
    <w:rsid w:val="76036756"/>
    <w:rsid w:val="76AF3117"/>
    <w:rsid w:val="76F654E5"/>
    <w:rsid w:val="77522DF0"/>
    <w:rsid w:val="78FF536E"/>
    <w:rsid w:val="78FF7DA1"/>
    <w:rsid w:val="797477F0"/>
    <w:rsid w:val="7C061F53"/>
    <w:rsid w:val="7C86221C"/>
    <w:rsid w:val="7C9D34C3"/>
    <w:rsid w:val="7D00193B"/>
    <w:rsid w:val="7DF0550F"/>
    <w:rsid w:val="7E295153"/>
    <w:rsid w:val="7E3A2765"/>
    <w:rsid w:val="7FBA332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uiPriority w:val="99"/>
    <w:rPr>
      <w:b/>
      <w:bCs/>
    </w:rPr>
  </w:style>
  <w:style w:type="paragraph" w:styleId="3">
    <w:name w:val="annotation text"/>
    <w:basedOn w:val="1"/>
    <w:link w:val="10"/>
    <w:uiPriority w:val="99"/>
    <w:pPr>
      <w:jc w:val="left"/>
    </w:pPr>
  </w:style>
  <w:style w:type="paragraph" w:styleId="4">
    <w:name w:val="Balloon Text"/>
    <w:basedOn w:val="1"/>
    <w:link w:val="12"/>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iPriority w:val="99"/>
    <w:rPr>
      <w:rFonts w:cs="Times New Roman"/>
      <w:sz w:val="21"/>
      <w:szCs w:val="21"/>
    </w:rPr>
  </w:style>
  <w:style w:type="character" w:customStyle="1" w:styleId="10">
    <w:name w:val="Comment Text Char"/>
    <w:basedOn w:val="7"/>
    <w:link w:val="3"/>
    <w:semiHidden/>
    <w:locked/>
    <w:uiPriority w:val="99"/>
    <w:rPr>
      <w:rFonts w:ascii="等线" w:hAnsi="等线" w:eastAsia="等线" w:cs="Times New Roman"/>
      <w:kern w:val="2"/>
      <w:sz w:val="22"/>
      <w:szCs w:val="22"/>
    </w:rPr>
  </w:style>
  <w:style w:type="character" w:customStyle="1" w:styleId="11">
    <w:name w:val="Comment Subject Char"/>
    <w:basedOn w:val="10"/>
    <w:link w:val="2"/>
    <w:semiHidden/>
    <w:qFormat/>
    <w:locked/>
    <w:uiPriority w:val="99"/>
    <w:rPr>
      <w:b/>
      <w:bCs/>
    </w:rPr>
  </w:style>
  <w:style w:type="character" w:customStyle="1" w:styleId="12">
    <w:name w:val="Balloon Text Char"/>
    <w:basedOn w:val="7"/>
    <w:link w:val="4"/>
    <w:semiHidden/>
    <w:locked/>
    <w:uiPriority w:val="99"/>
    <w:rPr>
      <w:rFonts w:ascii="等线" w:hAnsi="等线" w:eastAsia="等线" w:cs="Times New Roman"/>
      <w:kern w:val="2"/>
      <w:sz w:val="18"/>
      <w:szCs w:val="18"/>
    </w:rPr>
  </w:style>
  <w:style w:type="character" w:customStyle="1" w:styleId="13">
    <w:name w:val="Footer Char"/>
    <w:basedOn w:val="7"/>
    <w:link w:val="5"/>
    <w:qFormat/>
    <w:locked/>
    <w:uiPriority w:val="99"/>
    <w:rPr>
      <w:rFonts w:ascii="等线" w:hAnsi="等线" w:eastAsia="等线" w:cs="Times New Roman"/>
      <w:sz w:val="18"/>
      <w:szCs w:val="18"/>
    </w:rPr>
  </w:style>
  <w:style w:type="character" w:customStyle="1" w:styleId="14">
    <w:name w:val="Header Char"/>
    <w:basedOn w:val="7"/>
    <w:link w:val="6"/>
    <w:qFormat/>
    <w:locked/>
    <w:uiPriority w:val="99"/>
    <w:rPr>
      <w:rFonts w:ascii="等线" w:hAnsi="等线" w:eastAsia="等线" w:cs="Times New Roman"/>
      <w:sz w:val="18"/>
      <w:szCs w:val="18"/>
    </w:rPr>
  </w:style>
  <w:style w:type="paragraph" w:customStyle="1" w:styleId="15">
    <w:name w:val="正文 New"/>
    <w:uiPriority w:val="99"/>
    <w:pPr>
      <w:adjustRightInd w:val="0"/>
      <w:snapToGrid w:val="0"/>
      <w:spacing w:after="200"/>
    </w:pPr>
    <w:rPr>
      <w:rFonts w:ascii="Tahoma" w:hAnsi="Tahoma" w:eastAsia="微软雅黑" w:cs="Times New Roman"/>
      <w:kern w:val="0"/>
      <w:sz w:val="22"/>
      <w:szCs w:val="22"/>
      <w:lang w:val="en-US" w:eastAsia="zh-CN" w:bidi="ar-SA"/>
    </w:rPr>
  </w:style>
  <w:style w:type="paragraph" w:customStyle="1" w:styleId="16">
    <w:name w:val="列出段落1"/>
    <w:basedOn w:val="1"/>
    <w:uiPriority w:val="99"/>
    <w:pPr>
      <w:ind w:firstLine="420" w:firstLineChars="200"/>
    </w:pPr>
  </w:style>
  <w:style w:type="paragraph" w:customStyle="1" w:styleId="17">
    <w:name w:val="修订1"/>
    <w:hidden/>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800</Words>
  <Characters>4566</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2019-01-28T04:10:00Z</dcterms:created>
  <dc:creator>陶庆华</dc:creator>
  <cp:lastModifiedBy>邓锐昌</cp:lastModifiedBy>
  <cp:lastPrinted>2019-01-28T01:59:00Z</cp:lastPrinted>
  <dcterms:modified xsi:type="dcterms:W3CDTF">2019-01-28T04:10:54Z</dcterms:modified>
  <dc:title>佛山市非户籍常住人口子女申请入读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